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94" w:rsidRPr="000B3B94" w:rsidRDefault="000B3B94" w:rsidP="000B3B94">
      <w:pPr>
        <w:spacing w:before="161" w:after="161" w:line="55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Тема: </w:t>
      </w:r>
      <w:r w:rsidRPr="000B3B9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Горячее водоснабжение зданий</w:t>
      </w:r>
    </w:p>
    <w:p w:rsidR="007467F6" w:rsidRPr="007467F6" w:rsidRDefault="007467F6" w:rsidP="007467F6">
      <w:pPr>
        <w:shd w:val="clear" w:color="auto" w:fill="FFFFFF"/>
        <w:spacing w:before="105" w:after="105" w:line="240" w:lineRule="auto"/>
        <w:jc w:val="center"/>
        <w:outlineLvl w:val="3"/>
        <w:rPr>
          <w:rFonts w:ascii="Verdana sans-serif" w:eastAsia="Times New Roman" w:hAnsi="Verdana sans-serif" w:cs="Times New Roman"/>
          <w:b/>
          <w:bCs/>
          <w:color w:val="000000"/>
          <w:sz w:val="24"/>
          <w:szCs w:val="24"/>
          <w:lang w:eastAsia="ru-RU"/>
        </w:rPr>
      </w:pPr>
      <w:r w:rsidRPr="007467F6">
        <w:rPr>
          <w:rFonts w:ascii="Verdana sans-serif" w:eastAsia="Times New Roman" w:hAnsi="Verdana sans-serif" w:cs="Times New Roman"/>
          <w:b/>
          <w:bCs/>
          <w:color w:val="000000"/>
          <w:sz w:val="24"/>
          <w:szCs w:val="24"/>
          <w:lang w:eastAsia="ru-RU"/>
        </w:rPr>
        <w:t>Виды потребления горячей воды и требования к ее температуре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Горячая вода расходуется по следующим видам потребления:</w:t>
      </w:r>
    </w:p>
    <w:p w:rsidR="007467F6" w:rsidRPr="007467F6" w:rsidRDefault="007467F6" w:rsidP="007467F6">
      <w:pPr>
        <w:numPr>
          <w:ilvl w:val="0"/>
          <w:numId w:val="5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Бытовое.</w:t>
      </w:r>
    </w:p>
    <w:p w:rsidR="007467F6" w:rsidRPr="007467F6" w:rsidRDefault="007467F6" w:rsidP="007467F6">
      <w:pPr>
        <w:numPr>
          <w:ilvl w:val="0"/>
          <w:numId w:val="5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общественных зданиях.</w:t>
      </w:r>
    </w:p>
    <w:p w:rsidR="007467F6" w:rsidRPr="007467F6" w:rsidRDefault="007467F6" w:rsidP="007467F6">
      <w:pPr>
        <w:numPr>
          <w:ilvl w:val="0"/>
          <w:numId w:val="5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Коммунально-бытовое.</w:t>
      </w:r>
    </w:p>
    <w:p w:rsidR="007467F6" w:rsidRPr="007467F6" w:rsidRDefault="007467F6" w:rsidP="007467F6">
      <w:pPr>
        <w:numPr>
          <w:ilvl w:val="0"/>
          <w:numId w:val="5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Промышленное (технологическое).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Внутри из каждого видов потребления расход горячей воды также подразделяется: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879"/>
        <w:gridCol w:w="1404"/>
        <w:gridCol w:w="879"/>
      </w:tblGrid>
      <w:tr w:rsidR="007467F6" w:rsidRPr="007467F6" w:rsidTr="007467F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Вид бытовой нагрузи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СГВ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Вент.</w:t>
            </w:r>
          </w:p>
        </w:tc>
      </w:tr>
      <w:tr w:rsidR="007467F6" w:rsidRPr="007467F6" w:rsidTr="007467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Бытовая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35-40%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8-12%</w:t>
            </w:r>
          </w:p>
        </w:tc>
      </w:tr>
      <w:tr w:rsidR="007467F6" w:rsidRPr="007467F6" w:rsidTr="007467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Общественные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8-12%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30%</w:t>
            </w:r>
          </w:p>
        </w:tc>
      </w:tr>
      <w:tr w:rsidR="007467F6" w:rsidRPr="007467F6" w:rsidTr="007467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Коммунально-бытовая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15-80%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≈20-25%</w:t>
            </w:r>
          </w:p>
        </w:tc>
      </w:tr>
      <w:tr w:rsidR="007467F6" w:rsidRPr="007467F6" w:rsidTr="007467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Промышленная и </w:t>
            </w:r>
            <w:proofErr w:type="spellStart"/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технич</w:t>
            </w:r>
            <w:proofErr w:type="spellEnd"/>
            <w:r w:rsidRPr="007467F6">
              <w:rPr>
                <w:rFonts w:ascii="Helvetica" w:eastAsia="Times New Roman" w:hAnsi="Helvetica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10-15%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67F6" w:rsidRPr="007467F6" w:rsidRDefault="007467F6" w:rsidP="007467F6">
            <w:pPr>
              <w:spacing w:before="150" w:after="0" w:line="240" w:lineRule="auto"/>
              <w:jc w:val="both"/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</w:pPr>
            <w:r w:rsidRPr="007467F6">
              <w:rPr>
                <w:rFonts w:ascii="Verdana sans-serif" w:eastAsia="Times New Roman" w:hAnsi="Verdana sans-serif" w:cs="Times New Roman"/>
                <w:color w:val="000000"/>
                <w:sz w:val="23"/>
                <w:szCs w:val="23"/>
                <w:lang w:eastAsia="ru-RU"/>
              </w:rPr>
              <w:t>70-75%</w:t>
            </w:r>
          </w:p>
        </w:tc>
      </w:tr>
    </w:tbl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Система горячего водоснабжения предусматривает для подачи воды потребителю t=50-75 ºC для мытья посуды, умывания, стирки, купания и т. д.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При пользовании горячей воды потребитель может снизить ее температуру, смешивая горячую воду с холодной в смесителях. Поскольку для гигиенических  процедур используется горячая вода с t=37-42 ºC, то ночью допускается снижение t  до 40ºC. В остальное время СГВ должна обеспечивать подачу воды потребителю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с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заданной t.</w:t>
      </w:r>
    </w:p>
    <w:p w:rsidR="007467F6" w:rsidRPr="007467F6" w:rsidRDefault="007467F6" w:rsidP="007467F6">
      <w:pPr>
        <w:shd w:val="clear" w:color="auto" w:fill="FFFFFF"/>
        <w:spacing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К температуре горячей воды предъявляются следующие </w:t>
      </w:r>
      <w:r w:rsidRPr="007467F6">
        <w:rPr>
          <w:rFonts w:ascii="Helvetica" w:eastAsia="Times New Roman" w:hAnsi="Helvetica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требования</w:t>
      </w: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 (ГОСТ 2874-82):</w:t>
      </w:r>
    </w:p>
    <w:p w:rsidR="007467F6" w:rsidRPr="007467F6" w:rsidRDefault="007467F6" w:rsidP="007467F6">
      <w:pPr>
        <w:numPr>
          <w:ilvl w:val="0"/>
          <w:numId w:val="6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В системах с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непосредственным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водоразбором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 (открытых)  t </w:t>
      </w:r>
      <w:proofErr w:type="spellStart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г.в</w:t>
      </w:r>
      <w:proofErr w:type="spellEnd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.</w:t>
      </w: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 ≥ 60ºC</w:t>
      </w:r>
    </w:p>
    <w:p w:rsidR="007467F6" w:rsidRPr="007467F6" w:rsidRDefault="007467F6" w:rsidP="007467F6">
      <w:pPr>
        <w:numPr>
          <w:ilvl w:val="0"/>
          <w:numId w:val="6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закрытых системах t</w:t>
      </w:r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 </w:t>
      </w:r>
      <w:proofErr w:type="spellStart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г.в</w:t>
      </w:r>
      <w:proofErr w:type="spellEnd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.</w:t>
      </w: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 ≥ 50ºC</w:t>
      </w:r>
    </w:p>
    <w:p w:rsidR="007467F6" w:rsidRPr="007467F6" w:rsidRDefault="007467F6" w:rsidP="007467F6">
      <w:pPr>
        <w:numPr>
          <w:ilvl w:val="0"/>
          <w:numId w:val="6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местных системах t </w:t>
      </w:r>
      <w:proofErr w:type="spellStart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г.в</w:t>
      </w:r>
      <w:proofErr w:type="spellEnd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.</w:t>
      </w: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 ≥ 60ºC</w:t>
      </w:r>
    </w:p>
    <w:p w:rsidR="007467F6" w:rsidRPr="007467F6" w:rsidRDefault="007467F6" w:rsidP="007467F6">
      <w:pPr>
        <w:numPr>
          <w:ilvl w:val="0"/>
          <w:numId w:val="6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Не выше 75ºC для систем указанных в п.1-3</w:t>
      </w:r>
    </w:p>
    <w:p w:rsidR="007467F6" w:rsidRPr="007467F6" w:rsidRDefault="007467F6" w:rsidP="007467F6">
      <w:pPr>
        <w:numPr>
          <w:ilvl w:val="0"/>
          <w:numId w:val="6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детских учреждениях и отдельных лечебно-профилактических учреждениях t</w:t>
      </w:r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 </w:t>
      </w:r>
      <w:proofErr w:type="spellStart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г.в</w:t>
      </w:r>
      <w:proofErr w:type="spellEnd"/>
      <w:r w:rsidRPr="007467F6">
        <w:rPr>
          <w:rFonts w:ascii="Helvetica" w:eastAsia="Times New Roman" w:hAnsi="Helvetica" w:cs="Times New Roman"/>
          <w:color w:val="000000"/>
          <w:sz w:val="21"/>
          <w:szCs w:val="21"/>
          <w:bdr w:val="none" w:sz="0" w:space="0" w:color="auto" w:frame="1"/>
          <w:vertAlign w:val="subscript"/>
          <w:lang w:eastAsia="ru-RU"/>
        </w:rPr>
        <w:t>.</w:t>
      </w: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 ≤ 37ºC</w:t>
      </w:r>
    </w:p>
    <w:p w:rsidR="007467F6" w:rsidRPr="007467F6" w:rsidRDefault="007467F6" w:rsidP="007467F6">
      <w:pPr>
        <w:numPr>
          <w:ilvl w:val="0"/>
          <w:numId w:val="6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отдельных случаях требуется кипяченая вода (предприятия обществ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.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итания).</w:t>
      </w:r>
    </w:p>
    <w:p w:rsidR="007467F6" w:rsidRPr="007467F6" w:rsidRDefault="007467F6" w:rsidP="007467F6">
      <w:pPr>
        <w:shd w:val="clear" w:color="auto" w:fill="FFFFFF"/>
        <w:spacing w:before="105" w:after="105" w:line="240" w:lineRule="auto"/>
        <w:jc w:val="center"/>
        <w:outlineLvl w:val="3"/>
        <w:rPr>
          <w:rFonts w:ascii="Verdana sans-serif" w:eastAsia="Times New Roman" w:hAnsi="Verdana sans-serif" w:cs="Times New Roman"/>
          <w:b/>
          <w:bCs/>
          <w:color w:val="000000"/>
          <w:sz w:val="24"/>
          <w:szCs w:val="24"/>
          <w:lang w:eastAsia="ru-RU"/>
        </w:rPr>
      </w:pPr>
      <w:r w:rsidRPr="007467F6">
        <w:rPr>
          <w:rFonts w:ascii="Verdana sans-serif" w:eastAsia="Times New Roman" w:hAnsi="Verdana sans-serif" w:cs="Times New Roman"/>
          <w:b/>
          <w:bCs/>
          <w:color w:val="000000"/>
          <w:sz w:val="24"/>
          <w:szCs w:val="24"/>
          <w:lang w:eastAsia="ru-RU"/>
        </w:rPr>
        <w:t>Общая характеристика СГВ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Системы горячего водоснабжения включают в себя следующие элементы:</w:t>
      </w:r>
    </w:p>
    <w:p w:rsidR="007467F6" w:rsidRPr="007467F6" w:rsidRDefault="007467F6" w:rsidP="007467F6">
      <w:pPr>
        <w:numPr>
          <w:ilvl w:val="0"/>
          <w:numId w:val="7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Устройство для нагрева воды (котел или теплообменник в ЦТП).</w:t>
      </w:r>
    </w:p>
    <w:p w:rsidR="007467F6" w:rsidRPr="007467F6" w:rsidRDefault="007467F6" w:rsidP="007467F6">
      <w:pPr>
        <w:numPr>
          <w:ilvl w:val="0"/>
          <w:numId w:val="7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Подающий теплопровод, состоящий из магистрального теплопровода и подающих водоразборных стояков.</w:t>
      </w:r>
    </w:p>
    <w:p w:rsidR="007467F6" w:rsidRPr="007467F6" w:rsidRDefault="007467F6" w:rsidP="007467F6">
      <w:pPr>
        <w:numPr>
          <w:ilvl w:val="0"/>
          <w:numId w:val="7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Циркуляционные стояки и магистрали.</w:t>
      </w:r>
    </w:p>
    <w:p w:rsidR="007467F6" w:rsidRPr="007467F6" w:rsidRDefault="007467F6" w:rsidP="007467F6">
      <w:pPr>
        <w:numPr>
          <w:ilvl w:val="0"/>
          <w:numId w:val="7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Водоразборная и запорная арматура, а также циркуляционный насос.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center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Verdana sans-serif" w:eastAsia="Times New Roman" w:hAnsi="Verdana sans-serif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57500" cy="1857375"/>
            <wp:effectExtent l="0" t="0" r="0" b="9525"/>
            <wp:docPr id="11" name="Рисунок 11" descr="https://svoymaster.com/img/image/1_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voymaster.com/img/image/1_(2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lastRenderedPageBreak/>
        <w:t>Устройство для нагрева воды (котел, теплообменник)</w:t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Подающий трубопровод</w:t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Водоразборный подающий стояк</w:t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Водоразборная арматура</w:t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Циркуляционный стояк с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полотенцесушителями</w:t>
      </w:r>
      <w:proofErr w:type="spellEnd"/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Запорная арматура</w:t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Циркуляционный трубопровод.</w:t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Циркуляционный насос</w:t>
      </w:r>
    </w:p>
    <w:p w:rsidR="007467F6" w:rsidRPr="007467F6" w:rsidRDefault="007467F6" w:rsidP="007467F6">
      <w:pPr>
        <w:numPr>
          <w:ilvl w:val="0"/>
          <w:numId w:val="8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Обратный клапан.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Магистральный трубопровод имеет головной участок 2 и участки с регулярным присоединением стояков, чаще всего все стояки одного здания присоединяют к подающей магистрали в одной точке через промежуточный элемент – разводящий трубопровод здания.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center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Verdana sans-serif" w:eastAsia="Times New Roman" w:hAnsi="Verdana sans-serif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57500" cy="1647825"/>
            <wp:effectExtent l="0" t="0" r="0" b="9525"/>
            <wp:docPr id="10" name="Рисунок 10" descr="https://svoymaster.com/img/image/2_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voymaster.com/img/image/2_(1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numPr>
          <w:ilvl w:val="0"/>
          <w:numId w:val="9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Подающий трубопровод.</w:t>
      </w:r>
    </w:p>
    <w:p w:rsidR="007467F6" w:rsidRPr="007467F6" w:rsidRDefault="007467F6" w:rsidP="007467F6">
      <w:pPr>
        <w:numPr>
          <w:ilvl w:val="0"/>
          <w:numId w:val="9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Водоразборный стояк</w:t>
      </w:r>
    </w:p>
    <w:p w:rsidR="007467F6" w:rsidRPr="007467F6" w:rsidRDefault="007467F6" w:rsidP="007467F6">
      <w:pPr>
        <w:numPr>
          <w:ilvl w:val="0"/>
          <w:numId w:val="9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Разводящий трубопровод здания</w:t>
      </w:r>
    </w:p>
    <w:p w:rsidR="007467F6" w:rsidRPr="007467F6" w:rsidRDefault="007467F6" w:rsidP="007467F6">
      <w:pPr>
        <w:numPr>
          <w:ilvl w:val="0"/>
          <w:numId w:val="9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Главный стояк</w:t>
      </w:r>
    </w:p>
    <w:p w:rsidR="007467F6" w:rsidRPr="007467F6" w:rsidRDefault="007467F6" w:rsidP="007467F6">
      <w:pPr>
        <w:numPr>
          <w:ilvl w:val="0"/>
          <w:numId w:val="9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Сборный циркуляционный стояк</w:t>
      </w:r>
    </w:p>
    <w:p w:rsidR="007467F6" w:rsidRPr="007467F6" w:rsidRDefault="007467F6" w:rsidP="007467F6">
      <w:pPr>
        <w:numPr>
          <w:ilvl w:val="0"/>
          <w:numId w:val="9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Циркуляционная магистраль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а), б) – нижняя разводка;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в) – верхняя разводка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Вода в водоразборные стояки обычно подается снизу вверх (Рис. 2а, 2б), чтобы при недостаточном давлении воды в системе не прекращалось водоснабжение нижних этажей. Циркуляционные стояки и магистрали служат для транспортирования охлажденной в СГВ воды обратно к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водоподогревателю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догрева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. Циркуляционный насос устанавливается для постоянного побуждения циркуляции и обеспечения заданной температуры.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center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Verdana sans-serif" w:eastAsia="Times New Roman" w:hAnsi="Verdana sans-serif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57500" cy="1647825"/>
            <wp:effectExtent l="0" t="0" r="0" b="9525"/>
            <wp:docPr id="9" name="Рисунок 9" descr="https://svoymaster.com/img/image/3_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voymaster.com/img/image/3_(1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В СГВ обслуживающих одно здание, где протяженность трубопровода невелика, циркуляция может быть обеспечена за счет разности плотностей нагретой и охлажденной воды (системы с естественной или гравитационной циркуляцией).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Полотенцесушители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до 60-х годов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применялись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как показано на рис.1, а в последнее  время наибольшее распространение получила схема, где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полотенцесушители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расположены  на водоразборных стояках, что дало возможность объединить водоразборные стояки в секционные узлы, обслуживаемые одним циркуляционно-водоразборным или циркуляционным стояком (См. Рис. 3).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lastRenderedPageBreak/>
        <w:t>Нижняя разводка применяется на трубопроводах диаметром до 150 мм в системах ГВС из оцинкованных труб с уклоном труб ί=0,002</w:t>
      </w:r>
    </w:p>
    <w:p w:rsidR="007467F6" w:rsidRPr="007467F6" w:rsidRDefault="007467F6" w:rsidP="007467F6">
      <w:pPr>
        <w:shd w:val="clear" w:color="auto" w:fill="FFFFFF"/>
        <w:spacing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Helvetica" w:eastAsia="Times New Roman" w:hAnsi="Helvetica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Размещение в разрезе:</w:t>
      </w:r>
    </w:p>
    <w:p w:rsidR="007467F6" w:rsidRPr="007467F6" w:rsidRDefault="007467F6" w:rsidP="007467F6">
      <w:pPr>
        <w:shd w:val="clear" w:color="auto" w:fill="FFFFFF"/>
        <w:spacing w:after="0" w:line="240" w:lineRule="auto"/>
        <w:jc w:val="center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238375" cy="1438275"/>
            <wp:effectExtent l="0" t="0" r="9525" b="9525"/>
            <wp:docPr id="8" name="Рисунок 8" descr="https://svoymaster.com/img/image/4_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voymaster.com/img/image/4_(9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Если полуподвал, то устанавливают на хомутах под потолком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center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Verdana sans-serif" w:eastAsia="Times New Roman" w:hAnsi="Verdana sans-serif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38375" cy="1438275"/>
            <wp:effectExtent l="0" t="0" r="9525" b="9525"/>
            <wp:docPr id="7" name="Рисунок 7" descr="https://svoymaster.com/img/image/5_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voymaster.com/img/image/5_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Прокладка стояков СГВ осуществляется:</w:t>
      </w:r>
    </w:p>
    <w:p w:rsidR="007467F6" w:rsidRPr="007467F6" w:rsidRDefault="007467F6" w:rsidP="007467F6">
      <w:pPr>
        <w:numPr>
          <w:ilvl w:val="0"/>
          <w:numId w:val="10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нишах сантехнических кабин;</w:t>
      </w:r>
    </w:p>
    <w:p w:rsidR="007467F6" w:rsidRPr="007467F6" w:rsidRDefault="007467F6" w:rsidP="007467F6">
      <w:pPr>
        <w:numPr>
          <w:ilvl w:val="0"/>
          <w:numId w:val="10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в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штребах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 внешних стен;</w:t>
      </w:r>
    </w:p>
    <w:p w:rsidR="007467F6" w:rsidRPr="007467F6" w:rsidRDefault="007467F6" w:rsidP="007467F6">
      <w:pPr>
        <w:numPr>
          <w:ilvl w:val="0"/>
          <w:numId w:val="10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шахтах;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Схему сетей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центрального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ГВС применяют, как правило, тупиковой.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Запорную арматуру устанавливают:</w:t>
      </w:r>
    </w:p>
    <w:p w:rsidR="007467F6" w:rsidRPr="007467F6" w:rsidRDefault="007467F6" w:rsidP="007467F6">
      <w:pPr>
        <w:numPr>
          <w:ilvl w:val="0"/>
          <w:numId w:val="11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На ответвлениях к секционным узлам, отдельным зданиям и сооружениям</w:t>
      </w:r>
    </w:p>
    <w:p w:rsidR="007467F6" w:rsidRPr="007467F6" w:rsidRDefault="007467F6" w:rsidP="007467F6">
      <w:pPr>
        <w:numPr>
          <w:ilvl w:val="0"/>
          <w:numId w:val="11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У основания подающих и циркуляционных стояков у здания h ≥ 3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эт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.</w:t>
      </w:r>
    </w:p>
    <w:p w:rsidR="007467F6" w:rsidRPr="007467F6" w:rsidRDefault="007467F6" w:rsidP="007467F6">
      <w:pPr>
        <w:numPr>
          <w:ilvl w:val="0"/>
          <w:numId w:val="11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На ответвлениях в каждую квартиру и помещения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center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Verdana sans-serif" w:eastAsia="Times New Roman" w:hAnsi="Verdana sans-serif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076450" cy="1562100"/>
            <wp:effectExtent l="0" t="0" r="0" b="0"/>
            <wp:docPr id="6" name="Рисунок 6" descr="https://svoymaster.com/img/image/6_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voymaster.com/img/image/6_(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Для предотвращения движения воды в обратном направлении в циркуляционный трубопровод - обратный клапан. При необходимости в СГВ предусматривают установки водоподготовки и баки-аккумуляторы.</w:t>
      </w:r>
    </w:p>
    <w:p w:rsidR="007467F6" w:rsidRPr="007467F6" w:rsidRDefault="007467F6" w:rsidP="007467F6">
      <w:pPr>
        <w:shd w:val="clear" w:color="auto" w:fill="FFFFFF"/>
        <w:spacing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Helvetica" w:eastAsia="Times New Roman" w:hAnsi="Helvetica" w:cs="Times New Roman"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Обратные клапаны устанавливают:</w:t>
      </w:r>
    </w:p>
    <w:p w:rsidR="007467F6" w:rsidRPr="007467F6" w:rsidRDefault="007467F6" w:rsidP="007467F6">
      <w:pPr>
        <w:numPr>
          <w:ilvl w:val="0"/>
          <w:numId w:val="12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На циркуляционной линии напротив резки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водоподогревателя</w:t>
      </w:r>
      <w:proofErr w:type="spellEnd"/>
    </w:p>
    <w:p w:rsidR="007467F6" w:rsidRPr="007467F6" w:rsidRDefault="007467F6" w:rsidP="007467F6">
      <w:pPr>
        <w:numPr>
          <w:ilvl w:val="0"/>
          <w:numId w:val="12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 обвязке циркуляционных насосов</w:t>
      </w:r>
    </w:p>
    <w:p w:rsidR="007467F6" w:rsidRPr="007467F6" w:rsidRDefault="007467F6" w:rsidP="007467F6">
      <w:pPr>
        <w:numPr>
          <w:ilvl w:val="0"/>
          <w:numId w:val="12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На циркуляционной линии секционных узлов и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парнозакольцованных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  стояков.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В местных СГВ нагрев производится непосредственно у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водоразбора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или вблизи её, при этом система обслуживает одно или несколько смежных помещений. Нагрев воды в местных СГВ производится в индивидуальных нагревателях, которые могут быть газовыми, электрическими, на твердом или жидком топливе, солнечными (в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определ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. климат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.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у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словиях). </w:t>
      </w: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lastRenderedPageBreak/>
        <w:t xml:space="preserve">Примеры: газовая колонка в квартире (установка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газонагревателей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регламентируется нормами газоснабжения). Применение электрических водонагревателей должно быть обосновано экономически.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В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централизованных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СГВ вода нагревается в одном месте для всех водоразборных точек здания или группы зданий.</w:t>
      </w:r>
    </w:p>
    <w:p w:rsidR="007467F6" w:rsidRPr="007467F6" w:rsidRDefault="007467F6" w:rsidP="007467F6">
      <w:pPr>
        <w:shd w:val="clear" w:color="auto" w:fill="FFFFFF"/>
        <w:spacing w:before="150" w:after="0" w:line="240" w:lineRule="auto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Местные СГВ применяются в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зданиях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 xml:space="preserve"> не подключенных к центральному горячему водоснабжению или не имеющим собственной котельной.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  <w:t>Централизованные СГВ обязательные в случае собственной котельной или централизованного теплоснабжения.</w:t>
      </w:r>
      <w:proofErr w:type="gramEnd"/>
    </w:p>
    <w:p w:rsidR="007467F6" w:rsidRPr="007467F6" w:rsidRDefault="007467F6" w:rsidP="007467F6">
      <w:pPr>
        <w:shd w:val="clear" w:color="auto" w:fill="FFFFFF"/>
        <w:spacing w:before="105" w:after="105" w:line="240" w:lineRule="auto"/>
        <w:jc w:val="center"/>
        <w:outlineLvl w:val="3"/>
        <w:rPr>
          <w:rFonts w:ascii="Verdana sans-serif" w:eastAsia="Times New Roman" w:hAnsi="Verdana sans-serif" w:cs="Times New Roman"/>
          <w:b/>
          <w:bCs/>
          <w:color w:val="000000"/>
          <w:sz w:val="24"/>
          <w:szCs w:val="24"/>
          <w:lang w:eastAsia="ru-RU"/>
        </w:rPr>
      </w:pPr>
      <w:r w:rsidRPr="007467F6">
        <w:rPr>
          <w:rFonts w:ascii="Verdana sans-serif" w:eastAsia="Times New Roman" w:hAnsi="Verdana sans-serif" w:cs="Times New Roman"/>
          <w:b/>
          <w:bCs/>
          <w:color w:val="000000"/>
          <w:sz w:val="24"/>
          <w:szCs w:val="24"/>
          <w:lang w:eastAsia="ru-RU"/>
        </w:rPr>
        <w:t>Классификация систем горячего водоснабжения</w:t>
      </w:r>
    </w:p>
    <w:p w:rsidR="007467F6" w:rsidRPr="007467F6" w:rsidRDefault="007467F6" w:rsidP="007467F6">
      <w:pPr>
        <w:numPr>
          <w:ilvl w:val="0"/>
          <w:numId w:val="13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 месту выработки горячей воды: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Местные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Централизованные</w:t>
      </w:r>
    </w:p>
    <w:p w:rsidR="007467F6" w:rsidRPr="007467F6" w:rsidRDefault="007467F6" w:rsidP="007467F6">
      <w:pPr>
        <w:numPr>
          <w:ilvl w:val="0"/>
          <w:numId w:val="13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 характеру использования сетевой воды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Система 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непосредственного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водоразбора</w:t>
      </w:r>
      <w:proofErr w:type="spell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 (открытая)</w:t>
      </w:r>
    </w:p>
    <w:p w:rsidR="007467F6" w:rsidRPr="007467F6" w:rsidRDefault="007467F6" w:rsidP="007467F6">
      <w:pPr>
        <w:spacing w:before="150" w:after="0" w:line="240" w:lineRule="auto"/>
        <w:ind w:left="900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Verdana sans-serif" w:eastAsia="Times New Roman" w:hAnsi="Verdana sans-serif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876425" cy="1438275"/>
            <wp:effectExtent l="0" t="0" r="9525" b="9525"/>
            <wp:docPr id="5" name="Рисунок 5" descr="https://svoymaster.com/img/image/7_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voymaster.com/img/image/7_(3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Система с водонагревателем (закрытая)</w:t>
      </w:r>
    </w:p>
    <w:p w:rsidR="007467F6" w:rsidRPr="007467F6" w:rsidRDefault="007467F6" w:rsidP="007467F6">
      <w:pPr>
        <w:spacing w:before="150" w:after="0" w:line="240" w:lineRule="auto"/>
        <w:ind w:left="900"/>
        <w:jc w:val="both"/>
        <w:rPr>
          <w:rFonts w:ascii="Verdana sans-serif" w:eastAsia="Times New Roman" w:hAnsi="Verdana sans-serif" w:cs="Times New Roman"/>
          <w:color w:val="000000"/>
          <w:sz w:val="23"/>
          <w:szCs w:val="23"/>
          <w:lang w:eastAsia="ru-RU"/>
        </w:rPr>
      </w:pPr>
      <w:r>
        <w:rPr>
          <w:rFonts w:ascii="Verdana sans-serif" w:eastAsia="Times New Roman" w:hAnsi="Verdana sans-serif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057400" cy="1438275"/>
            <wp:effectExtent l="0" t="0" r="0" b="9525"/>
            <wp:docPr id="4" name="Рисунок 4" descr="https://svoymaster.com/img/image/8_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voymaster.com/img/image/8_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7F6" w:rsidRPr="007467F6" w:rsidRDefault="007467F6" w:rsidP="007467F6">
      <w:pPr>
        <w:numPr>
          <w:ilvl w:val="0"/>
          <w:numId w:val="13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 источнику давления обеспечивающему работу СГВ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Системы, работающие под давлением т/сети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Системы, работающие под давлением холодного водопровода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Насосные системы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Работающие под давлением от бако</w:t>
      </w:r>
      <w:proofErr w:type="gramStart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в-</w:t>
      </w:r>
      <w:proofErr w:type="gramEnd"/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 xml:space="preserve"> аккумуляторов</w:t>
      </w:r>
    </w:p>
    <w:p w:rsidR="007467F6" w:rsidRPr="007467F6" w:rsidRDefault="007467F6" w:rsidP="007467F6">
      <w:pPr>
        <w:numPr>
          <w:ilvl w:val="0"/>
          <w:numId w:val="13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 разводке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 верхней разводкой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 нижней разводкой</w:t>
      </w:r>
    </w:p>
    <w:p w:rsidR="007467F6" w:rsidRPr="007467F6" w:rsidRDefault="007467F6" w:rsidP="007467F6">
      <w:pPr>
        <w:numPr>
          <w:ilvl w:val="0"/>
          <w:numId w:val="13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 наличию и способу обеспечения циркуляции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Без циркуляции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 естественной циркуляцией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 искусственной циркуляцией</w:t>
      </w:r>
    </w:p>
    <w:p w:rsidR="007467F6" w:rsidRPr="007467F6" w:rsidRDefault="007467F6" w:rsidP="007467F6">
      <w:pPr>
        <w:numPr>
          <w:ilvl w:val="0"/>
          <w:numId w:val="13"/>
        </w:numPr>
        <w:spacing w:after="0" w:line="240" w:lineRule="auto"/>
        <w:ind w:left="45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По наличию и расположению баков-аккумуляторов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Без баков-аккумуляторов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Системы с верхними баками</w:t>
      </w:r>
    </w:p>
    <w:p w:rsidR="007467F6" w:rsidRPr="007467F6" w:rsidRDefault="007467F6" w:rsidP="007467F6">
      <w:pPr>
        <w:numPr>
          <w:ilvl w:val="1"/>
          <w:numId w:val="13"/>
        </w:numPr>
        <w:spacing w:after="0" w:line="240" w:lineRule="auto"/>
        <w:ind w:left="900"/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</w:pPr>
      <w:r w:rsidRPr="007467F6">
        <w:rPr>
          <w:rFonts w:ascii="Verdana sans-serif" w:eastAsia="Times New Roman" w:hAnsi="Verdana sans-serif" w:cs="Times New Roman"/>
          <w:color w:val="000000"/>
          <w:sz w:val="21"/>
          <w:szCs w:val="21"/>
          <w:lang w:eastAsia="ru-RU"/>
        </w:rPr>
        <w:t>Системы с нижними баками</w:t>
      </w:r>
    </w:p>
    <w:p w:rsidR="00BF242B" w:rsidRDefault="007467F6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https://theslide.ru/img/thumbs/747187cdd691672e2df785fffec89b9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slide.ru/img/thumbs/747187cdd691672e2df785fffec89b92-800x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 sans-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5FE"/>
    <w:multiLevelType w:val="multilevel"/>
    <w:tmpl w:val="13E20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A1212"/>
    <w:multiLevelType w:val="multilevel"/>
    <w:tmpl w:val="C7C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50131"/>
    <w:multiLevelType w:val="multilevel"/>
    <w:tmpl w:val="AAA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984EBD"/>
    <w:multiLevelType w:val="multilevel"/>
    <w:tmpl w:val="DC90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A457A"/>
    <w:multiLevelType w:val="multilevel"/>
    <w:tmpl w:val="1E34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C0292"/>
    <w:multiLevelType w:val="multilevel"/>
    <w:tmpl w:val="A324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6D1EF7"/>
    <w:multiLevelType w:val="multilevel"/>
    <w:tmpl w:val="51E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F6E7D"/>
    <w:multiLevelType w:val="multilevel"/>
    <w:tmpl w:val="2334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6219F"/>
    <w:multiLevelType w:val="multilevel"/>
    <w:tmpl w:val="2D60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3A452D"/>
    <w:multiLevelType w:val="multilevel"/>
    <w:tmpl w:val="FF66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B4FE2"/>
    <w:multiLevelType w:val="multilevel"/>
    <w:tmpl w:val="C272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3D62A4"/>
    <w:multiLevelType w:val="multilevel"/>
    <w:tmpl w:val="1778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BC3F38"/>
    <w:multiLevelType w:val="multilevel"/>
    <w:tmpl w:val="09FA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94"/>
    <w:rsid w:val="000B3B94"/>
    <w:rsid w:val="007467F6"/>
    <w:rsid w:val="00B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67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9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467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4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67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467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B9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467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4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6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568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4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351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2021-10-08T10:59:00Z</dcterms:created>
  <dcterms:modified xsi:type="dcterms:W3CDTF">2021-10-08T11:05:00Z</dcterms:modified>
</cp:coreProperties>
</file>