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6E" w:rsidRPr="00F33AB0" w:rsidRDefault="00CD316E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33AB0">
        <w:rPr>
          <w:rFonts w:ascii="Times New Roman" w:hAnsi="Times New Roman" w:cs="Times New Roman"/>
          <w:b/>
          <w:bCs/>
          <w:sz w:val="28"/>
          <w:szCs w:val="28"/>
        </w:rPr>
        <w:t>Кейс-стади</w:t>
      </w:r>
      <w:r w:rsidR="00F33AB0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</w:p>
    <w:p w:rsidR="00CD316E" w:rsidRPr="00F33AB0" w:rsidRDefault="00CD316E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Bold" w:hAnsi="Times New Roman" w:cs="Times New Roman"/>
          <w:b/>
          <w:bCs/>
          <w:sz w:val="28"/>
          <w:szCs w:val="28"/>
        </w:rPr>
      </w:pP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Проблемная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ситуация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1</w:t>
      </w:r>
    </w:p>
    <w:p w:rsidR="004F5A01" w:rsidRPr="00F33AB0" w:rsidRDefault="00CD316E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сфере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ЖКХ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многие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правонарушения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преступления связаны с качеством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экономического анализа всех взаимодействующих сторон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Так, в Москве за 2013 г.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было выявлено 207 уголовных преступлений,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связанных с экономическими расчетами и доказательством на этой основе хищений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бюджетных сре</w:t>
      </w:r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дств пр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>и проведении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ремонта (завышение смет на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ремонт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стройматериалы, поставка некачественных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материалов, приписки и невыполнение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работ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).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Кроме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того, могут завышаться суммы,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указанные в счетах жильцов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за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коммунальные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услуги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ремонт</w:t>
      </w:r>
      <w:proofErr w:type="spellEnd"/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1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>. Так, в Свердловской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области самыми распространенными преступлениями в сфере ЖКХ являются хищения: присвоение, растрата, мошенничество. Способы воровства средств, собираемых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с населения на оплату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коммунальных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услуг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,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самые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разные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Немало злоупотреблений происходит при проведении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капитальных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ремонтов в нарушение требований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Федерального закона от 21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июля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2007 г. № 185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‑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ФЗ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О Фонде содействия реформированию жилищно-коммунального хозяйства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. Во многих случаях организация,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обслуживающая жилье, либо не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проводит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ремонт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, а выделенные из федерального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и регионального бюджетов средства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присваивает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себе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, либо делает его некачественно — частично или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из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дешевых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материалов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—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утаивает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сэкономленные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деньги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Как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правило, следователи проводят строительно-техническую экспертизу, которая стоит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1—2 </w:t>
      </w:r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млн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руб. —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столько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же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,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сколько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сами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работы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В публикации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Преступленияв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ЖКХ раскрываются сложно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тмечается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: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…только силами правоохранительных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органов не решить всех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проблем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сфере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ЖКХ. Даже если полицейские раскроют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преступление, накажут виновного, ситуация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целом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не изменится </w:t>
      </w:r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—в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>место старой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недобросовестной управляющей компании придет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новая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 На первом месте должны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быть превентивные меры, не позволяющие совершать преступления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Bold" w:hAnsi="Times New Roman" w:cs="Times New Roman"/>
          <w:b/>
          <w:bCs/>
          <w:sz w:val="28"/>
          <w:szCs w:val="28"/>
        </w:rPr>
      </w:pP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Вопросы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к </w:t>
      </w: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анализу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проблемной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ситуации</w:t>
      </w:r>
      <w:proofErr w:type="spellEnd"/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Bold" w:hAnsi="Times New Roman" w:cs="Times New Roman"/>
          <w:i/>
          <w:iCs/>
          <w:sz w:val="28"/>
          <w:szCs w:val="28"/>
        </w:rPr>
        <w:t xml:space="preserve">Проблемный метод.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чем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состоит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проблемное содержание данной ситуации?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Постройте дерево проблем.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Bold" w:hAnsi="Times New Roman" w:cs="Times New Roman"/>
          <w:i/>
          <w:iCs/>
          <w:sz w:val="28"/>
          <w:szCs w:val="28"/>
        </w:rPr>
        <w:t>Метод причинно-следственных связей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Каковы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главные внутренние и внешние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причины возникновения данной ситуации?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Bold" w:hAnsi="Times New Roman" w:cs="Times New Roman"/>
          <w:i/>
          <w:iCs/>
          <w:sz w:val="28"/>
          <w:szCs w:val="28"/>
        </w:rPr>
        <w:t>Системный анализ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Каковы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последствия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данной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проблемной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ситуации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?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Bold" w:hAnsi="Times New Roman" w:cs="Times New Roman"/>
          <w:i/>
          <w:iCs/>
          <w:sz w:val="28"/>
          <w:szCs w:val="28"/>
        </w:rPr>
        <w:t>Расчетно-аналитический метод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основе дополнительной информации проведите сравнительный анализ обоснованности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расчетов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тарифов ЖКХ и практики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правоохранительной деятельности в этой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сфере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с другими региональными отечественными и зарубежными аналогами.</w:t>
      </w:r>
    </w:p>
    <w:p w:rsidR="00AF2CE8" w:rsidRPr="00F33AB0" w:rsidRDefault="00AF2CE8" w:rsidP="00F33AB0">
      <w:pPr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Bold" w:hAnsi="Times New Roman" w:cs="Times New Roman"/>
          <w:i/>
          <w:iCs/>
          <w:sz w:val="28"/>
          <w:szCs w:val="28"/>
        </w:rPr>
        <w:t>Игровой метод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Представьте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варианты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поведения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участников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данной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ситуации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</w:t>
      </w:r>
    </w:p>
    <w:p w:rsidR="00AF2CE8" w:rsidRPr="00F33AB0" w:rsidRDefault="00AF2CE8" w:rsidP="00F33AB0">
      <w:pPr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</w:p>
    <w:p w:rsidR="00AF2CE8" w:rsidRPr="00F33AB0" w:rsidRDefault="00AF2CE8" w:rsidP="00F33AB0">
      <w:pPr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</w:p>
    <w:p w:rsidR="00F33AB0" w:rsidRDefault="00F33AB0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Bold" w:hAnsi="Times New Roman" w:cs="Times New Roman"/>
          <w:b/>
          <w:bCs/>
          <w:sz w:val="28"/>
          <w:szCs w:val="28"/>
        </w:rPr>
      </w:pPr>
    </w:p>
    <w:p w:rsidR="00F33AB0" w:rsidRDefault="00F33AB0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Bold" w:hAnsi="Times New Roman" w:cs="Times New Roman"/>
          <w:b/>
          <w:bCs/>
          <w:sz w:val="28"/>
          <w:szCs w:val="28"/>
        </w:rPr>
      </w:pP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Bold" w:hAnsi="Times New Roman" w:cs="Times New Roman"/>
          <w:b/>
          <w:bCs/>
          <w:sz w:val="28"/>
          <w:szCs w:val="28"/>
        </w:rPr>
      </w:pPr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lastRenderedPageBreak/>
        <w:t>Проблемная ситуация 2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является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одной из наиболее значимых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инфраструктурных компаний в России и одной из крупнейших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электросетевых компаний в мире по числу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потребителей и протяженности линий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электропередачи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В 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сосредоточены основные активы электросетевого комплекса Российской Федерации (70%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распределительных и 90% магистральных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сетей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).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Группа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компаний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своих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ежегодных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отчетах</w:t>
      </w:r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О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социальной ответственности и корпоративном устойчивом развити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>я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выделяет следующих основных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стейкхолдеров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: потребители услуг компаний 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(потребители услуг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по передаче электроэнергии, заявители по технологическому присоединению, потребители электроэнергии); бизнес-сообщество (участники рынка электроэнергии,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производители и поставщики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энергооборудования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, подрядчики); федеральные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и региональные органы власти Российской Федерации; образовательные учреждения и научные исследовательские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центры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; акционеры и инвесторы; общественность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(общественные организации и ассоциации,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средства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массовой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информации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).</w:t>
      </w:r>
    </w:p>
    <w:p w:rsid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Группа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компаний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взаимодействует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стейкхолдерами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на основе следующих принципов:</w:t>
      </w:r>
    </w:p>
    <w:p w:rsid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соблюдение требований законодательства и других обязательств,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принятых компанией; </w:t>
      </w:r>
    </w:p>
    <w:p w:rsid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чет интересов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ожиданий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стейкхолдеров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; </w:t>
      </w:r>
    </w:p>
    <w:p w:rsid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sz w:val="28"/>
          <w:szCs w:val="28"/>
        </w:rPr>
        <w:t>информационная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прозрачность; </w:t>
      </w:r>
    </w:p>
    <w:p w:rsidR="00AF2CE8" w:rsidRPr="00F33AB0" w:rsidRDefault="00F33AB0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>
        <w:rPr>
          <w:rFonts w:ascii="Times New Roman" w:eastAsia="Petersburg-Regular" w:hAnsi="Times New Roman" w:cs="Times New Roman"/>
          <w:sz w:val="28"/>
          <w:szCs w:val="28"/>
        </w:rPr>
        <w:t>о</w:t>
      </w:r>
      <w:r w:rsidR="00AF2CE8"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ценка результативности и постоянное </w:t>
      </w:r>
      <w:proofErr w:type="spellStart"/>
      <w:r w:rsidR="00AF2CE8" w:rsidRPr="00F33AB0">
        <w:rPr>
          <w:rFonts w:ascii="Times New Roman" w:eastAsia="Petersburg-Regular" w:hAnsi="Times New Roman" w:cs="Times New Roman"/>
          <w:sz w:val="28"/>
          <w:szCs w:val="28"/>
        </w:rPr>
        <w:t>улучшение</w:t>
      </w:r>
      <w:proofErr w:type="spellEnd"/>
      <w:r w:rsidR="00AF2CE8"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="00AF2CE8" w:rsidRPr="00F33AB0">
        <w:rPr>
          <w:rFonts w:ascii="Times New Roman" w:eastAsia="Petersburg-Regular" w:hAnsi="Times New Roman" w:cs="Times New Roman"/>
          <w:sz w:val="28"/>
          <w:szCs w:val="28"/>
        </w:rPr>
        <w:t>деятельности</w:t>
      </w:r>
      <w:proofErr w:type="spellEnd"/>
      <w:r w:rsidR="00AF2CE8" w:rsidRPr="00F33AB0">
        <w:rPr>
          <w:rFonts w:ascii="Times New Roman" w:eastAsia="Petersburg-Regular" w:hAnsi="Times New Roman" w:cs="Times New Roman"/>
          <w:sz w:val="28"/>
          <w:szCs w:val="28"/>
        </w:rPr>
        <w:t>.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Указанные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принципы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реализуются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всех многообразных формах взаимодействия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со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стейкхолдерами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марте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2015 г.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контрольным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управлением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президента (КУ) были представлены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результаты проверки работы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ноябре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—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декабре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2014 г. КУ анализировало инвестиционной программы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Россетей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, динамику тарифов и регулирование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отрасли, сделав по итогам только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негативные выводы. </w:t>
      </w:r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Проверяющие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обратили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внимание на уже отмечавшуюся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низкую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эффективность инвестиций и тарифных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ограничений.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Так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,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докладе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говорится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,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что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реализация задач стратегии развития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сетевого комплекса идет медленно, а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проблемы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, влияющие на тарифы, длительное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время не решаются.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Доля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сетевого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тарифа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конечных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энергоценах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растет: в 2013 г.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она составляла 46,2%, а в 2014 — 46,8% (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для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ряда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потребителей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достигала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80%).</w:t>
      </w:r>
    </w:p>
    <w:p w:rsid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Внутри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тарифа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сетей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около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50% приходится на операционные 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>и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здержки, 33% —на инвестиции, и сокращения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затрат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практике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происходит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sz w:val="28"/>
          <w:szCs w:val="28"/>
        </w:rPr>
        <w:t>За 2010—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>2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014 гг.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операционные расходы выросли на 62%,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185 </w:t>
      </w:r>
      <w:proofErr w:type="spellStart"/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млрд</w:t>
      </w:r>
      <w:proofErr w:type="spellEnd"/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руб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., инвестиции —также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на 62%, до 151,7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млрд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руб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Работа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оптимизации инвестиционных расходов явно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недостаточна.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Энергоснабжение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новых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потребителей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часто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организуется за счет строительства новых вместо загрузки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существующих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мощностей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(по стране не загружено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более 30% ресурсов сетей,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отдельных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регионах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—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более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65%). Во многих случаях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lastRenderedPageBreak/>
        <w:t xml:space="preserve">расходы на инвестиции непрозрачны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бесконтрольны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 Например, у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Федеральной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сетевой компании (ФСК), входящей в 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, нет сметной документации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при получении бюджетных средств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Минэнерго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 Финансовые нарушения,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задержки строительства и ввода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объектов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ведут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к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росту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их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стоимости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тарифов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 Так,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ФСК были допущены в 2011—2013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гг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финансовые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нарушения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900 </w:t>
      </w:r>
      <w:proofErr w:type="spellStart"/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млн</w:t>
      </w:r>
      <w:proofErr w:type="spellEnd"/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руб., причем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при трате 95% заложенных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инвестиционную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программу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средств она исполнена лишь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на 72%.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ФСК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приходится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72% незавершенного строительства 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="00F33AB0">
        <w:rPr>
          <w:rFonts w:ascii="Cambria Math" w:eastAsia="Petersburg-Regular" w:hAnsi="Cambria Math" w:cs="Cambria Math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на 287 млрд руб.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Отдельное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внимание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проверяющих привлекли кавказские подразделения 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: в 2011–2012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гг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они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регулярно завышали плановые объемы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потребления, что приводило к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росту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цен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оптовом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энергорынке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 По данным КУ,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компании незаконно получили 500 </w:t>
      </w:r>
      <w:proofErr w:type="spellStart"/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млн</w:t>
      </w:r>
      <w:proofErr w:type="spellEnd"/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руб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 КУ представило критические замечания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также по работе Минэнерго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других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ведомств по сокращению перекрестного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субсидирования в отрасли: его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объем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 2014 г.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вырос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11%,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245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млрд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руб., хотя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должен сокращаться (до 50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млрд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руб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к 2022 г.).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Это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приводит к снижению промышленного производства до 3,6% и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потерям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для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ВВП в 0,8%, говорится в документе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о проведенной проверке.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Частично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решить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проблему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должна была социальная норма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потребления для населения, но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переход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на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нее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отложен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до июля 2016 г.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Bold" w:hAnsi="Times New Roman" w:cs="Times New Roman"/>
          <w:b/>
          <w:bCs/>
          <w:sz w:val="28"/>
          <w:szCs w:val="28"/>
        </w:rPr>
      </w:pP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Вопросы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к </w:t>
      </w: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анализу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проблемной</w:t>
      </w:r>
      <w:proofErr w:type="spellEnd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Bold" w:hAnsi="Times New Roman" w:cs="Times New Roman"/>
          <w:b/>
          <w:bCs/>
          <w:sz w:val="28"/>
          <w:szCs w:val="28"/>
        </w:rPr>
        <w:t>ситуации</w:t>
      </w:r>
      <w:proofErr w:type="spellEnd"/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i/>
          <w:iCs/>
          <w:sz w:val="28"/>
          <w:szCs w:val="28"/>
        </w:rPr>
        <w:t xml:space="preserve">Проблемный метод.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чем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состоит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проблемное содержание данной ситуации?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Постройте дерево проблем.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i/>
          <w:iCs/>
          <w:sz w:val="28"/>
          <w:szCs w:val="28"/>
        </w:rPr>
        <w:t xml:space="preserve">Метод причинно-следственных связей.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Каковы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главные внутренние и внешние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>причины возникновения данной ситуации?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Petersburg-Regular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i/>
          <w:iCs/>
          <w:sz w:val="28"/>
          <w:szCs w:val="28"/>
        </w:rPr>
        <w:t>Системный анализ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Каковы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последствия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данной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проблемной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ситуации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?</w:t>
      </w:r>
    </w:p>
    <w:p w:rsidR="00AF2CE8" w:rsidRPr="00F33AB0" w:rsidRDefault="00AF2CE8" w:rsidP="00F33A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AB0">
        <w:rPr>
          <w:rFonts w:ascii="Times New Roman" w:eastAsia="Petersburg-Regular" w:hAnsi="Times New Roman" w:cs="Times New Roman"/>
          <w:i/>
          <w:iCs/>
          <w:sz w:val="28"/>
          <w:szCs w:val="28"/>
        </w:rPr>
        <w:t>Игровой метод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Разделите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всех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стейкхолдеров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ОАО </w:t>
      </w:r>
      <w:r w:rsidRPr="00F33AB0">
        <w:rPr>
          <w:rFonts w:ascii="Cambria Math" w:eastAsia="Petersburg-Regular" w:hAnsi="Cambria Math" w:cs="Cambria Math"/>
          <w:sz w:val="28"/>
          <w:szCs w:val="28"/>
        </w:rPr>
        <w:t>≪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Россети</w:t>
      </w:r>
      <w:proofErr w:type="spellEnd"/>
      <w:r w:rsidRPr="00F33AB0">
        <w:rPr>
          <w:rFonts w:ascii="Cambria Math" w:eastAsia="Petersburg-Regular" w:hAnsi="Cambria Math" w:cs="Cambria Math"/>
          <w:sz w:val="28"/>
          <w:szCs w:val="28"/>
        </w:rPr>
        <w:t>≫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на ключевых,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первостепенных и второстепенных в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зависимости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от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силы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и степени их влияния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на ситуацию в компании в 2012—2015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гг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. </w:t>
      </w:r>
      <w:proofErr w:type="gramEnd"/>
      <w:r w:rsidRPr="00F33AB0">
        <w:rPr>
          <w:rFonts w:ascii="Times New Roman" w:eastAsia="Petersburg-Regular" w:hAnsi="Times New Roman" w:cs="Times New Roman"/>
          <w:sz w:val="28"/>
          <w:szCs w:val="28"/>
        </w:rPr>
        <w:t>Разработайте карту заинтересованных</w:t>
      </w:r>
      <w:r w:rsid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сторон.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Представьте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варианты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поведения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участников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данной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  <w:proofErr w:type="spellStart"/>
      <w:r w:rsidRPr="00F33AB0">
        <w:rPr>
          <w:rFonts w:ascii="Times New Roman" w:eastAsia="Petersburg-Regular" w:hAnsi="Times New Roman" w:cs="Times New Roman"/>
          <w:sz w:val="28"/>
          <w:szCs w:val="28"/>
        </w:rPr>
        <w:t>ситуации</w:t>
      </w:r>
      <w:proofErr w:type="spellEnd"/>
      <w:r w:rsidRPr="00F33AB0">
        <w:rPr>
          <w:rFonts w:ascii="Times New Roman" w:eastAsia="Petersburg-Regular" w:hAnsi="Times New Roman" w:cs="Times New Roman"/>
          <w:sz w:val="28"/>
          <w:szCs w:val="28"/>
        </w:rPr>
        <w:t>.</w:t>
      </w:r>
    </w:p>
    <w:sectPr w:rsidR="00AF2CE8" w:rsidRPr="00F3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etersburg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8B"/>
    <w:rsid w:val="004F5A01"/>
    <w:rsid w:val="005F6C8B"/>
    <w:rsid w:val="00AF2CE8"/>
    <w:rsid w:val="00CD316E"/>
    <w:rsid w:val="00F3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2024-01-22T05:38:00Z</dcterms:created>
  <dcterms:modified xsi:type="dcterms:W3CDTF">2024-01-22T07:16:00Z</dcterms:modified>
</cp:coreProperties>
</file>