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C5A0" w14:textId="77777777" w:rsidR="0006677B" w:rsidRDefault="0006677B" w:rsidP="009F70D8">
      <w:pPr>
        <w:jc w:val="center"/>
        <w:rPr>
          <w:b/>
          <w:bCs/>
          <w:sz w:val="32"/>
          <w:szCs w:val="32"/>
          <w:u w:val="single"/>
        </w:rPr>
      </w:pPr>
      <w:r w:rsidRPr="003B5E2E">
        <w:rPr>
          <w:b/>
          <w:bCs/>
          <w:sz w:val="32"/>
          <w:szCs w:val="32"/>
          <w:u w:val="single"/>
        </w:rPr>
        <w:t>Виды источников питания сварочной дуги</w:t>
      </w:r>
    </w:p>
    <w:p w14:paraId="546CD180" w14:textId="77777777" w:rsidR="00613102" w:rsidRDefault="00613102">
      <w:pPr>
        <w:pStyle w:val="ac"/>
        <w:shd w:val="clear" w:color="auto" w:fill="F8F8F8"/>
        <w:spacing w:before="0" w:beforeAutospacing="0" w:after="150" w:afterAutospacing="0"/>
        <w:divId w:val="1928146096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Пригодность </w:t>
      </w:r>
      <w:r>
        <w:rPr>
          <w:rStyle w:val="ad"/>
          <w:rFonts w:ascii="Helvetica" w:hAnsi="Helvetica"/>
          <w:color w:val="39464F"/>
          <w:sz w:val="26"/>
          <w:szCs w:val="26"/>
        </w:rPr>
        <w:t>источника тока </w:t>
      </w:r>
      <w:r>
        <w:rPr>
          <w:rFonts w:ascii="Helvetica" w:hAnsi="Helvetica"/>
          <w:color w:val="39464F"/>
          <w:sz w:val="26"/>
          <w:szCs w:val="26"/>
        </w:rPr>
        <w:t>для питания </w:t>
      </w:r>
      <w:r>
        <w:rPr>
          <w:rStyle w:val="ad"/>
          <w:rFonts w:ascii="Helvetica" w:hAnsi="Helvetica"/>
          <w:color w:val="39464F"/>
          <w:sz w:val="26"/>
          <w:szCs w:val="26"/>
        </w:rPr>
        <w:t>сварочной дуги</w:t>
      </w:r>
      <w:r>
        <w:rPr>
          <w:rFonts w:ascii="Helvetica" w:hAnsi="Helvetica"/>
          <w:color w:val="39464F"/>
          <w:sz w:val="26"/>
          <w:szCs w:val="26"/>
        </w:rPr>
        <w:t> оценивается так называемой внешней характеристикой, представляющей собой зависимость напряжения на клеммах, источника от даваемой им силы тока:  U = ƒ(I).</w:t>
      </w:r>
    </w:p>
    <w:p w14:paraId="6DADF530" w14:textId="77777777" w:rsidR="00613102" w:rsidRDefault="00613102">
      <w:pPr>
        <w:pStyle w:val="ac"/>
        <w:shd w:val="clear" w:color="auto" w:fill="F8F8F8"/>
        <w:spacing w:before="0" w:beforeAutospacing="0" w:after="150" w:afterAutospacing="0"/>
        <w:divId w:val="1928146096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 xml:space="preserve">Обычные электрические машины непригодны для этой цели, так как они имеют жесткую характеристику типа U = ƒ(I) = </w:t>
      </w:r>
      <w:proofErr w:type="spellStart"/>
      <w:r>
        <w:rPr>
          <w:rFonts w:ascii="Helvetica" w:hAnsi="Helvetica"/>
          <w:color w:val="39464F"/>
          <w:sz w:val="26"/>
          <w:szCs w:val="26"/>
        </w:rPr>
        <w:t>const</w:t>
      </w:r>
      <w:proofErr w:type="spellEnd"/>
      <w:r>
        <w:rPr>
          <w:rFonts w:ascii="Helvetica" w:hAnsi="Helvetica"/>
          <w:color w:val="39464F"/>
          <w:sz w:val="26"/>
          <w:szCs w:val="26"/>
        </w:rPr>
        <w:t xml:space="preserve"> (</w:t>
      </w:r>
      <w:r>
        <w:rPr>
          <w:rFonts w:ascii="Helvetica" w:hAnsi="Helvetica"/>
          <w:b/>
          <w:bCs/>
          <w:color w:val="39464F"/>
          <w:sz w:val="26"/>
          <w:szCs w:val="26"/>
        </w:rPr>
        <w:t>рис. 191</w:t>
      </w:r>
      <w:r>
        <w:rPr>
          <w:rFonts w:ascii="Helvetica" w:hAnsi="Helvetica"/>
          <w:color w:val="39464F"/>
          <w:sz w:val="26"/>
          <w:szCs w:val="26"/>
        </w:rPr>
        <w:t>, линия с). На этом же рисунке нанесены статические дуги (кривые а и а1), представляющие собой зависимости напряжения дуги от тока и относящиеся к ее установившемуся состоянию.</w:t>
      </w:r>
    </w:p>
    <w:p w14:paraId="3275216B" w14:textId="0C4BCCC6" w:rsidR="00613102" w:rsidRDefault="002D6EE8" w:rsidP="009F70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2FB8C6A" wp14:editId="0A6C1EB7">
            <wp:simplePos x="0" y="0"/>
            <wp:positionH relativeFrom="column">
              <wp:posOffset>0</wp:posOffset>
            </wp:positionH>
            <wp:positionV relativeFrom="paragraph">
              <wp:posOffset>393065</wp:posOffset>
            </wp:positionV>
            <wp:extent cx="3810000" cy="2247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98C45" w14:textId="77777777" w:rsidR="000F3580" w:rsidRDefault="000F3580">
      <w:pPr>
        <w:pStyle w:val="ac"/>
        <w:shd w:val="clear" w:color="auto" w:fill="F8F8F8"/>
        <w:spacing w:before="0" w:beforeAutospacing="0" w:after="150" w:afterAutospacing="0"/>
        <w:divId w:val="70852086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noProof/>
          <w:color w:val="39464F"/>
          <w:sz w:val="26"/>
          <w:szCs w:val="26"/>
        </w:rPr>
        <w:drawing>
          <wp:inline distT="0" distB="0" distL="0" distR="0" wp14:anchorId="65108799" wp14:editId="462EDE1C">
            <wp:extent cx="3812540" cy="2245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DD7B" w14:textId="77777777" w:rsidR="000F3580" w:rsidRDefault="000F3580">
      <w:pPr>
        <w:pStyle w:val="ac"/>
        <w:shd w:val="clear" w:color="auto" w:fill="F8F8F8"/>
        <w:spacing w:before="0" w:beforeAutospacing="0" w:after="150" w:afterAutospacing="0"/>
        <w:divId w:val="70852086"/>
        <w:rPr>
          <w:rFonts w:ascii="Helvetica" w:hAnsi="Helvetica"/>
          <w:color w:val="39464F"/>
          <w:sz w:val="26"/>
          <w:szCs w:val="26"/>
        </w:rPr>
      </w:pPr>
      <w:r>
        <w:rPr>
          <w:rStyle w:val="ae"/>
          <w:rFonts w:ascii="Helvetica" w:hAnsi="Helvetica"/>
          <w:b/>
          <w:bCs/>
          <w:color w:val="39464F"/>
          <w:sz w:val="26"/>
          <w:szCs w:val="26"/>
        </w:rPr>
        <w:t>Рис. 191.</w:t>
      </w:r>
      <w:r>
        <w:rPr>
          <w:rStyle w:val="ae"/>
          <w:rFonts w:ascii="Helvetica" w:hAnsi="Helvetica"/>
          <w:color w:val="39464F"/>
          <w:sz w:val="26"/>
          <w:szCs w:val="26"/>
        </w:rPr>
        <w:t> Внешние характеристики источников питания и статические характеристики дуги: а и а1 — статические характеристики соответственно для дуг длиной 2 и 5 мм; b и b1 — внешние характеристики сварочного источника тока; с — внешняя характеристика обычного источника тока.</w:t>
      </w:r>
    </w:p>
    <w:p w14:paraId="647B63D1" w14:textId="3486A508" w:rsidR="000F3580" w:rsidRDefault="000F3580">
      <w:pPr>
        <w:pStyle w:val="ac"/>
        <w:shd w:val="clear" w:color="auto" w:fill="F8F8F8"/>
        <w:spacing w:before="0" w:beforeAutospacing="0" w:after="150" w:afterAutospacing="0"/>
        <w:divId w:val="70852086"/>
        <w:rPr>
          <w:rFonts w:ascii="Helvetica" w:hAnsi="Helvetica"/>
          <w:color w:val="39464F"/>
          <w:sz w:val="26"/>
          <w:szCs w:val="26"/>
        </w:rPr>
      </w:pPr>
      <w:r>
        <w:rPr>
          <w:rStyle w:val="ad"/>
          <w:rFonts w:ascii="Helvetica" w:hAnsi="Helvetica"/>
          <w:color w:val="39464F"/>
          <w:sz w:val="26"/>
          <w:szCs w:val="26"/>
        </w:rPr>
        <w:t>Источник  питания сварочной дуги</w:t>
      </w:r>
      <w:r>
        <w:rPr>
          <w:rFonts w:ascii="Helvetica" w:hAnsi="Helvetica"/>
          <w:color w:val="39464F"/>
          <w:sz w:val="26"/>
          <w:szCs w:val="26"/>
        </w:rPr>
        <w:t xml:space="preserve"> должен иметь внешнюю крутопадающую характеристику (рис. 191, кривые b и b1). </w:t>
      </w:r>
      <w:r w:rsidR="00566CAC">
        <w:rPr>
          <w:rFonts w:ascii="Helvetica" w:hAnsi="Helvetica"/>
          <w:color w:val="39464F"/>
          <w:sz w:val="26"/>
          <w:szCs w:val="26"/>
        </w:rPr>
        <w:t>Зависимость</w:t>
      </w:r>
      <w:r>
        <w:rPr>
          <w:rFonts w:ascii="Helvetica" w:hAnsi="Helvetica"/>
          <w:color w:val="39464F"/>
          <w:sz w:val="26"/>
          <w:szCs w:val="26"/>
        </w:rPr>
        <w:t xml:space="preserve"> напряжения от тока U = ƒ(I) здесь такова, что с возрастанием тока в цепи напряжение на клеммах источника тока уменьшается.</w:t>
      </w:r>
    </w:p>
    <w:p w14:paraId="6CB12FE5" w14:textId="653D3EF8" w:rsidR="000F3580" w:rsidRDefault="000F3580">
      <w:pPr>
        <w:pStyle w:val="ac"/>
        <w:shd w:val="clear" w:color="auto" w:fill="F8F8F8"/>
        <w:spacing w:before="0" w:beforeAutospacing="0" w:after="150" w:afterAutospacing="0"/>
        <w:divId w:val="70852086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 xml:space="preserve">Точки пересечения (В, В', В1, и В") внешних характеристик b и b1со статическими характеристиками дуги (а и а1) </w:t>
      </w:r>
      <w:r w:rsidR="0018270A">
        <w:rPr>
          <w:rFonts w:ascii="Helvetica" w:hAnsi="Helvetica"/>
          <w:color w:val="39464F"/>
          <w:sz w:val="26"/>
          <w:szCs w:val="26"/>
        </w:rPr>
        <w:t>соответствую</w:t>
      </w:r>
      <w:r w:rsidR="0018270A">
        <w:rPr>
          <w:rFonts w:ascii="Helvetica" w:hAnsi="Helvetica" w:hint="eastAsia"/>
          <w:color w:val="39464F"/>
          <w:sz w:val="26"/>
          <w:szCs w:val="26"/>
        </w:rPr>
        <w:t>т</w:t>
      </w:r>
      <w:r>
        <w:rPr>
          <w:rFonts w:ascii="Helvetica" w:hAnsi="Helvetica"/>
          <w:color w:val="39464F"/>
          <w:sz w:val="26"/>
          <w:szCs w:val="26"/>
        </w:rPr>
        <w:t xml:space="preserve"> режимам устойчивого горения дуги.</w:t>
      </w:r>
    </w:p>
    <w:p w14:paraId="64874C31" w14:textId="77777777" w:rsidR="000F3580" w:rsidRDefault="000F3580">
      <w:pPr>
        <w:pStyle w:val="ac"/>
        <w:shd w:val="clear" w:color="auto" w:fill="F8F8F8"/>
        <w:spacing w:before="0" w:beforeAutospacing="0" w:after="150" w:afterAutospacing="0"/>
        <w:divId w:val="70852086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Кроме того, к источникам питания дуги предъявляются следующие требования:</w:t>
      </w:r>
    </w:p>
    <w:p w14:paraId="3582D223" w14:textId="77777777" w:rsidR="000F3580" w:rsidRDefault="000F3580" w:rsidP="000F358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divId w:val="70852086"/>
        <w:rPr>
          <w:rFonts w:ascii="Helvetica" w:eastAsia="Times New Roman" w:hAnsi="Helvetica"/>
          <w:color w:val="39464F"/>
          <w:sz w:val="26"/>
          <w:szCs w:val="26"/>
        </w:rPr>
      </w:pPr>
      <w:r>
        <w:rPr>
          <w:rFonts w:ascii="Helvetica" w:eastAsia="Times New Roman" w:hAnsi="Helvetica"/>
          <w:color w:val="39464F"/>
          <w:sz w:val="26"/>
          <w:szCs w:val="26"/>
        </w:rPr>
        <w:t>напряжение холостого хода должно быть не выше 65—75 в;</w:t>
      </w:r>
    </w:p>
    <w:p w14:paraId="76C4567D" w14:textId="77777777" w:rsidR="000F3580" w:rsidRDefault="000F3580" w:rsidP="000F358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divId w:val="70852086"/>
        <w:rPr>
          <w:rFonts w:ascii="Helvetica" w:eastAsia="Times New Roman" w:hAnsi="Helvetica"/>
          <w:color w:val="39464F"/>
          <w:sz w:val="26"/>
          <w:szCs w:val="26"/>
        </w:rPr>
      </w:pPr>
      <w:r>
        <w:rPr>
          <w:rFonts w:ascii="Helvetica" w:eastAsia="Times New Roman" w:hAnsi="Helvetica"/>
          <w:color w:val="39464F"/>
          <w:sz w:val="26"/>
          <w:szCs w:val="26"/>
        </w:rPr>
        <w:t>величина тока короткого замыкания не должна превышать сварочный (рабочий) ток более, чем на 40 ÷ 50%;</w:t>
      </w:r>
    </w:p>
    <w:p w14:paraId="6536E814" w14:textId="77777777" w:rsidR="000F3580" w:rsidRDefault="000F3580" w:rsidP="000F358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divId w:val="70852086"/>
        <w:rPr>
          <w:rFonts w:ascii="Helvetica" w:eastAsia="Times New Roman" w:hAnsi="Helvetica"/>
          <w:color w:val="39464F"/>
          <w:sz w:val="26"/>
          <w:szCs w:val="26"/>
        </w:rPr>
      </w:pPr>
      <w:r>
        <w:rPr>
          <w:rFonts w:ascii="Helvetica" w:eastAsia="Times New Roman" w:hAnsi="Helvetica"/>
          <w:color w:val="39464F"/>
          <w:sz w:val="26"/>
          <w:szCs w:val="26"/>
        </w:rPr>
        <w:t>источник питания должен обладать хорошими динамическими свойствами и быстро реагировать на все изменения режима дуги;</w:t>
      </w:r>
    </w:p>
    <w:p w14:paraId="06722C0C" w14:textId="77777777" w:rsidR="000F3580" w:rsidRDefault="000F3580" w:rsidP="000F358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divId w:val="70852086"/>
        <w:rPr>
          <w:rFonts w:ascii="Helvetica" w:eastAsia="Times New Roman" w:hAnsi="Helvetica"/>
          <w:color w:val="39464F"/>
          <w:sz w:val="26"/>
          <w:szCs w:val="26"/>
        </w:rPr>
      </w:pPr>
      <w:r>
        <w:rPr>
          <w:rFonts w:ascii="Helvetica" w:eastAsia="Times New Roman" w:hAnsi="Helvetica"/>
          <w:color w:val="39464F"/>
          <w:sz w:val="26"/>
          <w:szCs w:val="26"/>
        </w:rPr>
        <w:t>эксплуатация источника должна быть простой  и надежной, а регулирование тока должно осуществляться плавно</w:t>
      </w:r>
    </w:p>
    <w:p w14:paraId="61C7F4AA" w14:textId="77777777" w:rsidR="000116B4" w:rsidRDefault="000116B4" w:rsidP="000116B4">
      <w:pPr>
        <w:pStyle w:val="ac"/>
        <w:numPr>
          <w:ilvl w:val="0"/>
          <w:numId w:val="1"/>
        </w:numPr>
        <w:shd w:val="clear" w:color="auto" w:fill="F8F8F8"/>
        <w:spacing w:before="0" w:beforeAutospacing="0" w:after="150" w:afterAutospacing="0"/>
        <w:divId w:val="695733174"/>
        <w:rPr>
          <w:rFonts w:ascii="Helvetica" w:hAnsi="Helvetica"/>
          <w:color w:val="39464F"/>
          <w:sz w:val="26"/>
          <w:szCs w:val="26"/>
        </w:rPr>
      </w:pPr>
      <w:r>
        <w:rPr>
          <w:rStyle w:val="ad"/>
          <w:rFonts w:ascii="Helvetica" w:hAnsi="Helvetica"/>
          <w:color w:val="39464F"/>
          <w:sz w:val="26"/>
          <w:szCs w:val="26"/>
        </w:rPr>
        <w:t>Источники питания дуги</w:t>
      </w:r>
      <w:r>
        <w:rPr>
          <w:rFonts w:ascii="Helvetica" w:hAnsi="Helvetica"/>
          <w:color w:val="39464F"/>
          <w:sz w:val="26"/>
          <w:szCs w:val="26"/>
        </w:rPr>
        <w:t> постоянным током принято называть генераторами, а источники переменного тока — сварочными аппаратами или трансформаторами. Если источник тока предназначен для питания одной дуги, он называется однопостовым, а в том случае, если от него питаются  несколько дуг,— многопостовым.</w:t>
      </w:r>
    </w:p>
    <w:p w14:paraId="4F0205AF" w14:textId="77777777" w:rsidR="000116B4" w:rsidRDefault="000116B4" w:rsidP="000116B4">
      <w:pPr>
        <w:pStyle w:val="ac"/>
        <w:numPr>
          <w:ilvl w:val="0"/>
          <w:numId w:val="1"/>
        </w:numPr>
        <w:shd w:val="clear" w:color="auto" w:fill="F8F8F8"/>
        <w:spacing w:before="0" w:beforeAutospacing="0" w:after="150" w:afterAutospacing="0"/>
        <w:divId w:val="695733174"/>
        <w:rPr>
          <w:rFonts w:ascii="Helvetica" w:hAnsi="Helvetica"/>
          <w:color w:val="39464F"/>
          <w:sz w:val="26"/>
          <w:szCs w:val="26"/>
        </w:rPr>
      </w:pPr>
      <w:r>
        <w:rPr>
          <w:rStyle w:val="ad"/>
          <w:rFonts w:ascii="Helvetica" w:hAnsi="Helvetica"/>
          <w:color w:val="39464F"/>
          <w:sz w:val="26"/>
          <w:szCs w:val="26"/>
        </w:rPr>
        <w:t>Генераторы постоянного тока</w:t>
      </w:r>
      <w:r>
        <w:rPr>
          <w:rFonts w:ascii="Helvetica" w:hAnsi="Helvetica"/>
          <w:color w:val="39464F"/>
          <w:sz w:val="26"/>
          <w:szCs w:val="26"/>
        </w:rPr>
        <w:t> могут быть стационарными и передвижными с приводом в виде электрического двигателя или: двигателя внутреннего сгорания. Генератор вместе с двигателем образуют сварочный агрегат.</w:t>
      </w:r>
    </w:p>
    <w:p w14:paraId="1BA0E1F1" w14:textId="77777777" w:rsidR="000116B4" w:rsidRDefault="000116B4" w:rsidP="000116B4">
      <w:pPr>
        <w:pStyle w:val="ac"/>
        <w:numPr>
          <w:ilvl w:val="0"/>
          <w:numId w:val="1"/>
        </w:numPr>
        <w:shd w:val="clear" w:color="auto" w:fill="F8F8F8"/>
        <w:spacing w:before="0" w:beforeAutospacing="0" w:after="150" w:afterAutospacing="0"/>
        <w:divId w:val="695733174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Однопостовые </w:t>
      </w:r>
      <w:r>
        <w:rPr>
          <w:rStyle w:val="ad"/>
          <w:rFonts w:ascii="Helvetica" w:hAnsi="Helvetica"/>
          <w:color w:val="39464F"/>
          <w:sz w:val="26"/>
          <w:szCs w:val="26"/>
        </w:rPr>
        <w:t>сварочные агрегаты</w:t>
      </w:r>
      <w:r>
        <w:rPr>
          <w:rFonts w:ascii="Helvetica" w:hAnsi="Helvetica"/>
          <w:color w:val="39464F"/>
          <w:sz w:val="26"/>
          <w:szCs w:val="26"/>
        </w:rPr>
        <w:t> постоянного тока должны меть падающую внешнюю характеристику и хорошие динамические свойства. На рис. 192, а и б показаны соответственно агрегаты ПС-300 и ПС-500. Ступенчатое регулирование тока агрегата ПС-300 производится смещением щеток по поверхности коллектора с фиксацией их в двух положениях, а плавное регулирование в пределах каждой ступени осуществляется с помощью реостата. Пределы регулирования сварочного тока от 70 до 380 а.</w:t>
      </w:r>
    </w:p>
    <w:p w14:paraId="070DBC68" w14:textId="4A67448B" w:rsidR="00142E8C" w:rsidRDefault="00CE6491" w:rsidP="009F70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6BD7331" wp14:editId="17AAB4C7">
            <wp:simplePos x="0" y="0"/>
            <wp:positionH relativeFrom="column">
              <wp:posOffset>0</wp:posOffset>
            </wp:positionH>
            <wp:positionV relativeFrom="paragraph">
              <wp:posOffset>385445</wp:posOffset>
            </wp:positionV>
            <wp:extent cx="3810000" cy="28289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844C6" w14:textId="77777777" w:rsidR="00CE6491" w:rsidRDefault="00CE6491" w:rsidP="009F70D8">
      <w:pPr>
        <w:jc w:val="center"/>
        <w:rPr>
          <w:b/>
          <w:bCs/>
          <w:sz w:val="32"/>
          <w:szCs w:val="32"/>
          <w:u w:val="single"/>
        </w:rPr>
      </w:pPr>
    </w:p>
    <w:p w14:paraId="3AFF0711" w14:textId="52AF4DCF" w:rsidR="00CE6491" w:rsidRDefault="00A31954" w:rsidP="009F70D8">
      <w:pPr>
        <w:jc w:val="center"/>
        <w:rPr>
          <w:rStyle w:val="ae"/>
          <w:rFonts w:eastAsia="Times New Roman"/>
          <w:color w:val="39464F"/>
          <w:sz w:val="26"/>
          <w:szCs w:val="26"/>
          <w:shd w:val="clear" w:color="auto" w:fill="F8F8F8"/>
        </w:rPr>
      </w:pPr>
      <w:r>
        <w:rPr>
          <w:rStyle w:val="ae"/>
          <w:rFonts w:ascii="Helvetica" w:eastAsia="Times New Roman" w:hAnsi="Helvetica"/>
          <w:b/>
          <w:bCs/>
          <w:color w:val="39464F"/>
          <w:sz w:val="26"/>
          <w:szCs w:val="26"/>
          <w:shd w:val="clear" w:color="auto" w:fill="F8F8F8"/>
        </w:rPr>
        <w:t>Рис. 192.</w:t>
      </w:r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 </w:t>
      </w:r>
      <w:proofErr w:type="spellStart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Источники,сварочного</w:t>
      </w:r>
      <w:proofErr w:type="spellEnd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 xml:space="preserve"> тока: а и б — агрегаты ПС-300 и ПС-500; в — многопостовой преобразователь ПСМ-1000; г — схема подключения сварочных постов к преобразователю ПСМ-1000, РБ-200 — </w:t>
      </w:r>
      <w:proofErr w:type="spellStart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баластный</w:t>
      </w:r>
      <w:proofErr w:type="spellEnd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 xml:space="preserve"> реостат; д — схема сварочного аппарата типа СТЭ с подключенной к нему сварочной цепью: 1 — первичная обмотка; 2 — вторичная обмотка; 3 — обмотка дросселя; 4 —  </w:t>
      </w:r>
      <w:proofErr w:type="spellStart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магнитопровод</w:t>
      </w:r>
      <w:proofErr w:type="spellEnd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 xml:space="preserve"> трансформатора; 5 — </w:t>
      </w:r>
      <w:proofErr w:type="spellStart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магнитопровод</w:t>
      </w:r>
      <w:proofErr w:type="spellEnd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 xml:space="preserve"> дросселя; 6 — ярмо дросселя; 7— электрическая дуга; L — регулируемый зазор между сердечником дросселя и ярмом; е — схема сварочного аппарата типа СТН с подключенной к нему сварочной цепью; 1 — первичная обмотка трансформатора; 2 — вторичная; 3 — реактивная обмотка; 4 — </w:t>
      </w:r>
      <w:proofErr w:type="spellStart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магнитопровод</w:t>
      </w:r>
      <w:proofErr w:type="spellEnd"/>
      <w:r>
        <w:rPr>
          <w:rStyle w:val="ae"/>
          <w:rFonts w:ascii="Helvetica" w:eastAsia="Times New Roman" w:hAnsi="Helvetica"/>
          <w:color w:val="39464F"/>
          <w:sz w:val="26"/>
          <w:szCs w:val="26"/>
          <w:shd w:val="clear" w:color="auto" w:fill="F8F8F8"/>
        </w:rPr>
        <w:t>; 5 — ярмо; 6 — электрическая дуга.</w:t>
      </w:r>
    </w:p>
    <w:p w14:paraId="5EC18245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У агрегата ПС-500 также предусмотрена комбинированная (ступенчатая и плавная) регулировка тока. Однако ступенчатое регулирование у этого агрегата осуществляется не сдвигом щеток, а включением различного числа секций одной из обмоток. Пределы регулирования тока 120 — 600 а.</w:t>
      </w:r>
    </w:p>
    <w:p w14:paraId="40AF8AAD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Многопостовые </w:t>
      </w:r>
      <w:r>
        <w:rPr>
          <w:rStyle w:val="ad"/>
          <w:rFonts w:ascii="Helvetica" w:hAnsi="Helvetica"/>
          <w:color w:val="39464F"/>
          <w:sz w:val="26"/>
          <w:szCs w:val="26"/>
        </w:rPr>
        <w:t>генераторы</w:t>
      </w:r>
      <w:r>
        <w:rPr>
          <w:rFonts w:ascii="Helvetica" w:hAnsi="Helvetica"/>
          <w:color w:val="39464F"/>
          <w:sz w:val="26"/>
          <w:szCs w:val="26"/>
        </w:rPr>
        <w:t> имеют жесткую характеристику. Получение падающей характеристики на каждом сварочном посту и плавное регулирование тока достигается включением в цепь каждой дуги балластного реостата. Многопостовой преобразователь ПСМ-1000 и схема подключения к нему сварочных постов показаны на </w:t>
      </w:r>
      <w:r>
        <w:rPr>
          <w:rFonts w:ascii="Helvetica" w:hAnsi="Helvetica"/>
          <w:b/>
          <w:bCs/>
          <w:color w:val="39464F"/>
          <w:sz w:val="26"/>
          <w:szCs w:val="26"/>
        </w:rPr>
        <w:t>рис. 192, в и г</w:t>
      </w:r>
      <w:r>
        <w:rPr>
          <w:rFonts w:ascii="Helvetica" w:hAnsi="Helvetica"/>
          <w:color w:val="39464F"/>
          <w:sz w:val="26"/>
          <w:szCs w:val="26"/>
        </w:rPr>
        <w:t>.</w:t>
      </w:r>
    </w:p>
    <w:p w14:paraId="2967E11F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При сварке на переменном токе в сварочную цепь последовательно с дугой включается индуктивное сопротивление — дроссельная катушка. Это позволяет получить падающую характеристику и плавно регулировать ток. Различают три системы сварочных трансформаторов:</w:t>
      </w:r>
    </w:p>
    <w:p w14:paraId="113426AD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Style w:val="ad"/>
          <w:rFonts w:ascii="Helvetica" w:hAnsi="Helvetica"/>
          <w:color w:val="39464F"/>
          <w:sz w:val="26"/>
          <w:szCs w:val="26"/>
        </w:rPr>
        <w:t>Трансформатор</w:t>
      </w:r>
      <w:r>
        <w:rPr>
          <w:rFonts w:ascii="Helvetica" w:hAnsi="Helvetica"/>
          <w:color w:val="39464F"/>
          <w:sz w:val="26"/>
          <w:szCs w:val="26"/>
        </w:rPr>
        <w:t xml:space="preserve"> с отдельной дроссельной катушкой, имеющей два самостоятельных </w:t>
      </w:r>
      <w:proofErr w:type="spellStart"/>
      <w:r>
        <w:rPr>
          <w:rFonts w:ascii="Helvetica" w:hAnsi="Helvetica"/>
          <w:color w:val="39464F"/>
          <w:sz w:val="26"/>
          <w:szCs w:val="26"/>
        </w:rPr>
        <w:t>магнитопровода</w:t>
      </w:r>
      <w:proofErr w:type="spellEnd"/>
      <w:r>
        <w:rPr>
          <w:rFonts w:ascii="Helvetica" w:hAnsi="Helvetica"/>
          <w:color w:val="39464F"/>
          <w:sz w:val="26"/>
          <w:szCs w:val="26"/>
        </w:rPr>
        <w:t xml:space="preserve"> и общую вторичную электрическую цепь (рис. 192, д). Регулирование тока производится изменением воздушного зазора в </w:t>
      </w:r>
      <w:proofErr w:type="spellStart"/>
      <w:r>
        <w:rPr>
          <w:rFonts w:ascii="Helvetica" w:hAnsi="Helvetica"/>
          <w:color w:val="39464F"/>
          <w:sz w:val="26"/>
          <w:szCs w:val="26"/>
        </w:rPr>
        <w:t>магнитопроводе</w:t>
      </w:r>
      <w:proofErr w:type="spellEnd"/>
      <w:r>
        <w:rPr>
          <w:rFonts w:ascii="Helvetica" w:hAnsi="Helvetica"/>
          <w:color w:val="39464F"/>
          <w:sz w:val="26"/>
          <w:szCs w:val="26"/>
        </w:rPr>
        <w:t xml:space="preserve"> дроссельной катушки.</w:t>
      </w:r>
    </w:p>
    <w:p w14:paraId="18BC681B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 xml:space="preserve">Комбинированный трансформатор с дроссельной катушкой во вторичной цепи, объединенной с трансформатором в одно целое на общем </w:t>
      </w:r>
      <w:proofErr w:type="spellStart"/>
      <w:r>
        <w:rPr>
          <w:rFonts w:ascii="Helvetica" w:hAnsi="Helvetica"/>
          <w:color w:val="39464F"/>
          <w:sz w:val="26"/>
          <w:szCs w:val="26"/>
        </w:rPr>
        <w:t>магнитопроводе</w:t>
      </w:r>
      <w:proofErr w:type="spellEnd"/>
      <w:r>
        <w:rPr>
          <w:rFonts w:ascii="Helvetica" w:hAnsi="Helvetica"/>
          <w:color w:val="39464F"/>
          <w:sz w:val="26"/>
          <w:szCs w:val="26"/>
        </w:rPr>
        <w:t xml:space="preserve"> (</w:t>
      </w:r>
      <w:r>
        <w:rPr>
          <w:rFonts w:ascii="Helvetica" w:hAnsi="Helvetica"/>
          <w:b/>
          <w:bCs/>
          <w:color w:val="39464F"/>
          <w:sz w:val="26"/>
          <w:szCs w:val="26"/>
        </w:rPr>
        <w:t>рис. 192, е</w:t>
      </w:r>
      <w:r>
        <w:rPr>
          <w:rFonts w:ascii="Helvetica" w:hAnsi="Helvetica"/>
          <w:color w:val="39464F"/>
          <w:sz w:val="26"/>
          <w:szCs w:val="26"/>
        </w:rPr>
        <w:t>). Падающая характеристика получается также за счет изменения, магнитного потока, создаваемого дроссельной катушкой путем регулирования величины зазора. Трансформатор с увеличенной индуктивностью без дроссельной катушки</w:t>
      </w:r>
    </w:p>
    <w:p w14:paraId="0EF2A290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За последнее время нашли применение трехфазные трансформаторы, предназначенные для питания трехфазной дуги, для двудуговой сварки и для электрошлаковой сварки. Кроме того, для питания дуги постоянным током используются сварочные выпрямительные установки, собираемые из полупроводниковых элементов. По сравнению с генераторами они более просты в эксплуатации, экономичны, имеют меньший вес и габаритные размеры.</w:t>
      </w:r>
    </w:p>
    <w:p w14:paraId="0D531E1F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Для повышения стабильности горения дуги переменного тока, а иногда и при работе маломощными дугами постоянного тока применяют осцилляторы, преобразующие низкое напряжение промышленной частоты в импульсы высокого напряжения и высокой частоты.</w:t>
      </w:r>
    </w:p>
    <w:p w14:paraId="48B73A64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Наложение этих импульсов на дуговой промежуток способствует возникновению искрового разряда, что облегчает зажигание дуги и повышает устойчивость ее горения.</w:t>
      </w:r>
    </w:p>
    <w:p w14:paraId="3847F1D5" w14:textId="77777777" w:rsidR="00A32A4C" w:rsidRDefault="00A32A4C">
      <w:pPr>
        <w:pStyle w:val="ac"/>
        <w:shd w:val="clear" w:color="auto" w:fill="F8F8F8"/>
        <w:spacing w:before="0" w:beforeAutospacing="0" w:after="150" w:afterAutospacing="0"/>
        <w:divId w:val="405230779"/>
        <w:rPr>
          <w:rFonts w:ascii="Helvetica" w:hAnsi="Helvetica"/>
          <w:color w:val="39464F"/>
          <w:sz w:val="26"/>
          <w:szCs w:val="26"/>
        </w:rPr>
      </w:pPr>
      <w:r>
        <w:rPr>
          <w:rFonts w:ascii="Helvetica" w:hAnsi="Helvetica"/>
          <w:color w:val="39464F"/>
          <w:sz w:val="26"/>
          <w:szCs w:val="26"/>
        </w:rPr>
        <w:t>Для </w:t>
      </w:r>
      <w:r>
        <w:rPr>
          <w:rStyle w:val="ad"/>
          <w:rFonts w:ascii="Helvetica" w:hAnsi="Helvetica"/>
          <w:color w:val="39464F"/>
          <w:sz w:val="26"/>
          <w:szCs w:val="26"/>
        </w:rPr>
        <w:t>сварки </w:t>
      </w:r>
      <w:r>
        <w:rPr>
          <w:rFonts w:ascii="Helvetica" w:hAnsi="Helvetica"/>
          <w:color w:val="39464F"/>
          <w:sz w:val="26"/>
          <w:szCs w:val="26"/>
        </w:rPr>
        <w:t>неплавящимся электродом в среде защитных газов применяются стандартные сварочные трансформаторы с дросселем и осциллятором. При сварке на постоянном токе используются стандартные мотор-генераторы (СУГ-2); преобразователи (ПСО-300, ПС-500) и выпрямители (ВСС-120).</w:t>
      </w:r>
    </w:p>
    <w:p w14:paraId="06AD57AD" w14:textId="26FED2D7" w:rsidR="00A31954" w:rsidRDefault="00B40D95" w:rsidP="009F70D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Контрольные вопросы:</w:t>
      </w:r>
    </w:p>
    <w:p w14:paraId="45523D08" w14:textId="5CFEFA1F" w:rsidR="00566CAC" w:rsidRDefault="004F2107" w:rsidP="004F2107">
      <w:pPr>
        <w:pStyle w:val="a7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Какую особенность должен иметь источник питания сварочной дуги?</w:t>
      </w:r>
    </w:p>
    <w:p w14:paraId="553A7F63" w14:textId="77C93484" w:rsidR="004F2107" w:rsidRDefault="00FD20B2" w:rsidP="004F2107">
      <w:pPr>
        <w:pStyle w:val="a7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Какие требования предъявляют к источникам питания сварочной дуги?</w:t>
      </w:r>
    </w:p>
    <w:p w14:paraId="5ADC2DFD" w14:textId="35C64230" w:rsidR="00FB3AAF" w:rsidRDefault="00FB3AAF" w:rsidP="004F2107">
      <w:pPr>
        <w:pStyle w:val="a7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По каким </w:t>
      </w:r>
      <w:r w:rsidR="000565F7">
        <w:rPr>
          <w:sz w:val="32"/>
          <w:szCs w:val="32"/>
          <w:u w:val="single"/>
        </w:rPr>
        <w:t>признакам различают источники питания сварочной дуги и как их называют?</w:t>
      </w:r>
    </w:p>
    <w:p w14:paraId="40204992" w14:textId="449D404B" w:rsidR="000565F7" w:rsidRPr="004F2107" w:rsidRDefault="00424154" w:rsidP="004F2107">
      <w:pPr>
        <w:pStyle w:val="a7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Какие системы сварочных трансформаторов вы знаете?</w:t>
      </w:r>
    </w:p>
    <w:sectPr w:rsidR="000565F7" w:rsidRPr="004F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A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D6770"/>
    <w:multiLevelType w:val="hybridMultilevel"/>
    <w:tmpl w:val="DE74A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79953">
    <w:abstractNumId w:val="0"/>
  </w:num>
  <w:num w:numId="2" w16cid:durableId="20364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7B"/>
    <w:rsid w:val="000116B4"/>
    <w:rsid w:val="000565F7"/>
    <w:rsid w:val="0006677B"/>
    <w:rsid w:val="000F3580"/>
    <w:rsid w:val="00142E8C"/>
    <w:rsid w:val="0018270A"/>
    <w:rsid w:val="002D6EE8"/>
    <w:rsid w:val="003B5E2E"/>
    <w:rsid w:val="00424154"/>
    <w:rsid w:val="004F2107"/>
    <w:rsid w:val="00566CAC"/>
    <w:rsid w:val="00613102"/>
    <w:rsid w:val="009F70D8"/>
    <w:rsid w:val="00A31954"/>
    <w:rsid w:val="00A32A4C"/>
    <w:rsid w:val="00B40D95"/>
    <w:rsid w:val="00C400DB"/>
    <w:rsid w:val="00CE6491"/>
    <w:rsid w:val="00FB3AAF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E3B52"/>
  <w15:chartTrackingRefBased/>
  <w15:docId w15:val="{CE3AA63D-1100-2E41-9BA3-A074E43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6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6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7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67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6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6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6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6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6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6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6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6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67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6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67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677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1310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613102"/>
    <w:rPr>
      <w:b/>
      <w:bCs/>
    </w:rPr>
  </w:style>
  <w:style w:type="character" w:styleId="ae">
    <w:name w:val="Emphasis"/>
    <w:basedOn w:val="a0"/>
    <w:uiPriority w:val="20"/>
    <w:qFormat/>
    <w:rsid w:val="000F3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Евдокимов</dc:creator>
  <cp:keywords/>
  <dc:description/>
  <cp:lastModifiedBy>Владимир Евдокимов</cp:lastModifiedBy>
  <cp:revision>2</cp:revision>
  <dcterms:created xsi:type="dcterms:W3CDTF">2024-10-03T06:43:00Z</dcterms:created>
  <dcterms:modified xsi:type="dcterms:W3CDTF">2024-10-03T06:43:00Z</dcterms:modified>
</cp:coreProperties>
</file>