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12" w:rsidRPr="00516AA2" w:rsidRDefault="007D1014" w:rsidP="0051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A2">
        <w:rPr>
          <w:rFonts w:ascii="Times New Roman" w:hAnsi="Times New Roman" w:cs="Times New Roman"/>
          <w:b/>
          <w:sz w:val="24"/>
          <w:szCs w:val="24"/>
          <w:highlight w:val="yellow"/>
        </w:rPr>
        <w:t>Классификация гражданских зданий. Планировочные особенности реконструируемых здани</w:t>
      </w:r>
      <w:bookmarkStart w:id="0" w:name="_GoBack"/>
      <w:bookmarkEnd w:id="0"/>
      <w:r w:rsidRPr="00516AA2">
        <w:rPr>
          <w:rFonts w:ascii="Times New Roman" w:hAnsi="Times New Roman" w:cs="Times New Roman"/>
          <w:b/>
          <w:sz w:val="24"/>
          <w:szCs w:val="24"/>
          <w:highlight w:val="yellow"/>
        </w:rPr>
        <w:t>й.</w:t>
      </w:r>
    </w:p>
    <w:p w:rsidR="00990F92" w:rsidRPr="00516AA2" w:rsidRDefault="00990F92" w:rsidP="00990F92">
      <w:pPr>
        <w:jc w:val="center"/>
        <w:rPr>
          <w:b/>
        </w:rPr>
      </w:pPr>
      <w:r w:rsidRPr="00516AA2">
        <w:rPr>
          <w:b/>
        </w:rPr>
        <w:t xml:space="preserve">По назначению: </w:t>
      </w:r>
    </w:p>
    <w:p w:rsidR="009807CD" w:rsidRDefault="00990F92" w:rsidP="002268C1">
      <w:r w:rsidRPr="00990F92">
        <w:t xml:space="preserve">- жилые; </w:t>
      </w:r>
      <w:r w:rsidR="002268C1">
        <w:br/>
      </w:r>
      <w:r w:rsidRPr="00990F92">
        <w:t xml:space="preserve">- общественные (коммунально-бытовые, лечебные, спортивные, учебные и т. д.). </w:t>
      </w:r>
    </w:p>
    <w:p w:rsidR="009807CD" w:rsidRPr="00516AA2" w:rsidRDefault="00990F92" w:rsidP="00990F92">
      <w:pPr>
        <w:jc w:val="center"/>
        <w:rPr>
          <w:b/>
        </w:rPr>
      </w:pPr>
      <w:r w:rsidRPr="00516AA2">
        <w:rPr>
          <w:b/>
        </w:rPr>
        <w:t xml:space="preserve">По высотности: </w:t>
      </w:r>
    </w:p>
    <w:p w:rsidR="009807CD" w:rsidRDefault="00990F92" w:rsidP="002268C1">
      <w:r w:rsidRPr="00990F92">
        <w:t xml:space="preserve">- малоэтажные (от 1 до 4 </w:t>
      </w:r>
      <w:proofErr w:type="spellStart"/>
      <w:r w:rsidRPr="00990F92">
        <w:t>эт</w:t>
      </w:r>
      <w:proofErr w:type="spellEnd"/>
      <w:r w:rsidRPr="00990F92">
        <w:t xml:space="preserve">.); </w:t>
      </w:r>
      <w:r w:rsidR="002268C1">
        <w:br/>
      </w:r>
      <w:r w:rsidRPr="00990F92">
        <w:t xml:space="preserve">- </w:t>
      </w:r>
      <w:proofErr w:type="spellStart"/>
      <w:r w:rsidRPr="00990F92">
        <w:t>среднеэтажные</w:t>
      </w:r>
      <w:proofErr w:type="spellEnd"/>
      <w:r w:rsidRPr="00990F92">
        <w:t xml:space="preserve"> (от 5 до 9 </w:t>
      </w:r>
      <w:proofErr w:type="spellStart"/>
      <w:r w:rsidRPr="00990F92">
        <w:t>эт</w:t>
      </w:r>
      <w:proofErr w:type="spellEnd"/>
      <w:r w:rsidRPr="00990F92">
        <w:t xml:space="preserve">.); </w:t>
      </w:r>
      <w:r w:rsidR="002268C1">
        <w:br/>
      </w:r>
      <w:r w:rsidRPr="00990F92">
        <w:t xml:space="preserve">- высотные (свыше 9 </w:t>
      </w:r>
      <w:proofErr w:type="spellStart"/>
      <w:r w:rsidRPr="00990F92">
        <w:t>эт</w:t>
      </w:r>
      <w:proofErr w:type="spellEnd"/>
      <w:r w:rsidRPr="00990F92">
        <w:t xml:space="preserve">.). </w:t>
      </w:r>
    </w:p>
    <w:p w:rsidR="009807CD" w:rsidRPr="00516AA2" w:rsidRDefault="00990F92" w:rsidP="00990F92">
      <w:pPr>
        <w:jc w:val="center"/>
        <w:rPr>
          <w:b/>
        </w:rPr>
      </w:pPr>
      <w:r w:rsidRPr="00516AA2">
        <w:rPr>
          <w:b/>
        </w:rPr>
        <w:t xml:space="preserve">По долговечности: </w:t>
      </w:r>
    </w:p>
    <w:p w:rsidR="009807CD" w:rsidRDefault="00990F92" w:rsidP="002268C1">
      <w:r w:rsidRPr="00990F92">
        <w:t xml:space="preserve">- 1 степень – повышенный срок службы, не меньше 100 лет; </w:t>
      </w:r>
    </w:p>
    <w:p w:rsidR="009807CD" w:rsidRDefault="00990F92" w:rsidP="002268C1">
      <w:r w:rsidRPr="00990F92">
        <w:t xml:space="preserve">- 2 степень – средний срок службы, не меньше 50 лет; </w:t>
      </w:r>
    </w:p>
    <w:p w:rsidR="009807CD" w:rsidRDefault="00990F92" w:rsidP="002268C1">
      <w:r w:rsidRPr="00990F92">
        <w:t xml:space="preserve">- 3 степень – пониженный срок службы, не меньше 20 лет. </w:t>
      </w:r>
    </w:p>
    <w:p w:rsidR="009807CD" w:rsidRPr="00516AA2" w:rsidRDefault="00990F92" w:rsidP="00990F92">
      <w:pPr>
        <w:jc w:val="center"/>
        <w:rPr>
          <w:b/>
        </w:rPr>
      </w:pPr>
      <w:r w:rsidRPr="00516AA2">
        <w:rPr>
          <w:b/>
        </w:rPr>
        <w:t xml:space="preserve">По материалам и конструкциям: </w:t>
      </w:r>
    </w:p>
    <w:p w:rsidR="009807CD" w:rsidRDefault="00990F92" w:rsidP="002268C1">
      <w:r w:rsidRPr="00990F92">
        <w:t xml:space="preserve">- деревянные (брусчатые, бревенчатые); </w:t>
      </w:r>
      <w:r w:rsidR="002268C1">
        <w:br/>
      </w:r>
      <w:r w:rsidRPr="00990F92">
        <w:t xml:space="preserve">- каменные и кирпичные; </w:t>
      </w:r>
      <w:r w:rsidR="002268C1">
        <w:br/>
      </w:r>
      <w:r w:rsidRPr="00990F92">
        <w:t xml:space="preserve">- полносборные и железобетонные сборные; </w:t>
      </w:r>
      <w:r w:rsidR="002268C1">
        <w:br/>
      </w:r>
      <w:r w:rsidRPr="00990F92">
        <w:t xml:space="preserve">- железобетонные монолитные; </w:t>
      </w:r>
      <w:r w:rsidR="002268C1">
        <w:br/>
      </w:r>
      <w:r w:rsidRPr="00990F92">
        <w:t xml:space="preserve">- металлические (панели сэндвич). </w:t>
      </w:r>
    </w:p>
    <w:p w:rsidR="009807CD" w:rsidRPr="00516AA2" w:rsidRDefault="00990F92" w:rsidP="00990F92">
      <w:pPr>
        <w:jc w:val="center"/>
        <w:rPr>
          <w:b/>
        </w:rPr>
      </w:pPr>
      <w:r w:rsidRPr="00516AA2">
        <w:rPr>
          <w:b/>
        </w:rPr>
        <w:t xml:space="preserve">По степени огнестойкости (в соответствии со СНиП 2.01.02-85 «Конструктивные особенности зданий и сооружений»): </w:t>
      </w:r>
    </w:p>
    <w:p w:rsidR="009807CD" w:rsidRDefault="00990F92" w:rsidP="001C4817">
      <w:r w:rsidRPr="00990F92">
        <w:t xml:space="preserve">- 1 степень – предел горения 3 часа – 2,5 часа максимальный срок горения; </w:t>
      </w:r>
      <w:r w:rsidR="001C4817">
        <w:br/>
      </w:r>
      <w:r w:rsidRPr="00990F92">
        <w:t xml:space="preserve">- 2 степень – предел горения 2,5 часа; </w:t>
      </w:r>
      <w:r w:rsidR="001C4817">
        <w:br/>
      </w:r>
      <w:r w:rsidRPr="00990F92">
        <w:t xml:space="preserve">- 3 степень – предел горения 2 часа; </w:t>
      </w:r>
      <w:r w:rsidR="001C4817">
        <w:br/>
      </w:r>
      <w:r w:rsidRPr="00990F92">
        <w:t xml:space="preserve">- 4 степень – предел горения 0,5 часа; </w:t>
      </w:r>
      <w:r w:rsidR="001C4817">
        <w:br/>
      </w:r>
      <w:r w:rsidRPr="00990F92">
        <w:t xml:space="preserve">- 5 степень – предел горения 0,2 часа. </w:t>
      </w:r>
    </w:p>
    <w:p w:rsidR="009807CD" w:rsidRPr="00516AA2" w:rsidRDefault="00990F92" w:rsidP="009807CD">
      <w:pPr>
        <w:jc w:val="center"/>
        <w:rPr>
          <w:b/>
        </w:rPr>
      </w:pPr>
      <w:r w:rsidRPr="00516AA2">
        <w:rPr>
          <w:b/>
        </w:rPr>
        <w:t xml:space="preserve">По ответственности: </w:t>
      </w:r>
    </w:p>
    <w:p w:rsidR="002268C1" w:rsidRDefault="00990F92" w:rsidP="001C4817">
      <w:r w:rsidRPr="00990F92">
        <w:t xml:space="preserve">- класс I – основные здания и сооружения объектов, имеющих особо важное народнохозяйственное и (или) социальное назначение; главные корпуса ТЭС, АЭС; центральные узлы доменных печей; дымовые трубы высотой более 200 м; телевизионные башни; резервуары для нефти и нефтепродуктов вместимостью свыше 10 тыс. м 3 ; крытые спортивные сооружения с трибунами; здания театров, кинотеатров, цирков, крытых рынков, учебных заведений, детских дошкольных учреждений, больниц, родильных домов, музеев, государственных архивов и т. п. </w:t>
      </w:r>
      <w:r w:rsidR="001C4817">
        <w:br/>
      </w:r>
      <w:r w:rsidRPr="00990F92">
        <w:t xml:space="preserve">- класс II – здания и сооружения объектов, имеющих ограниченное народнохозяйственное и (или) социальное значение (объекты промышленного, сельскохозяйственного, жилищно-гражданского назначения и связи, не вошедшие в I и III классы). </w:t>
      </w:r>
      <w:r w:rsidR="001C4817">
        <w:br/>
      </w:r>
      <w:r w:rsidRPr="00990F92">
        <w:t xml:space="preserve">- класс III – здания и сооружения объектов, имеющих ограниченное народнохозяйственное и (или) социальное значение; склады без процессов сортировки и упаковки для хранения </w:t>
      </w:r>
      <w:r w:rsidRPr="00990F92">
        <w:lastRenderedPageBreak/>
        <w:t>сельскохозяйственных продуктов, удобрений, химикатов, угля, торфа и др.; теплицы, парники, одноэтажные</w:t>
      </w:r>
      <w:r>
        <w:t xml:space="preserve"> </w:t>
      </w:r>
      <w:r>
        <w:t xml:space="preserve">жилые дома, опоры проводной связи, опоры освещения населенных пунктов, временные здания и сооружения, ограды и т. п. </w:t>
      </w:r>
    </w:p>
    <w:p w:rsidR="002268C1" w:rsidRPr="00516AA2" w:rsidRDefault="00990F92" w:rsidP="009807CD">
      <w:pPr>
        <w:jc w:val="center"/>
        <w:rPr>
          <w:b/>
        </w:rPr>
      </w:pPr>
      <w:r w:rsidRPr="00516AA2">
        <w:rPr>
          <w:b/>
        </w:rPr>
        <w:t xml:space="preserve">По капитальности в зависимости от материала фундаментов, стен и перекрытий: </w:t>
      </w:r>
    </w:p>
    <w:p w:rsidR="00516AA2" w:rsidRDefault="00990F92" w:rsidP="00516AA2">
      <w:r>
        <w:t xml:space="preserve">- I группа зданий – каменные, особо капитальные (фундаменты – каменные и бетонные, стены – каменные (кирпичные) и крупноблочные, перекрытия – железобетонные) – срок службы зданий150 лет; </w:t>
      </w:r>
      <w:r w:rsidR="001C4817">
        <w:br/>
      </w:r>
      <w:r>
        <w:t xml:space="preserve">- II группа зданий – каменные обыкновенные (фундаменты – каменные, стены – каменные (кирпичные), крупноблочные и крупнопанельные, перекрытия – железобетонные или смешанные (деревянные и железобетонные) –срок службы зданий125 лет; </w:t>
      </w:r>
      <w:r w:rsidR="001C4817">
        <w:br/>
      </w:r>
      <w:r>
        <w:t xml:space="preserve">- III группа зданий – каменные облегченные (фундаменты – каменные и бетонные, стены облегченной кладки из кирпича и шлакоблоков, перекрытия – деревянные, железобетонные) –срок службы зданий100 лет; </w:t>
      </w:r>
      <w:r w:rsidR="001C4817">
        <w:br/>
      </w:r>
      <w:r>
        <w:t xml:space="preserve">- IV группа зданий – деревянные, рубленные и брусчатые, смешанные (фундаменты – ленточные, бутовые, стены – рубленные, брусчатые, смешанные (кирпичные и деревянные), перекрытия – деревянные) – срок службы зданий 50 лет; </w:t>
      </w:r>
      <w:r w:rsidR="001C4817">
        <w:br/>
      </w:r>
      <w:r>
        <w:t>- V группа зданий – сборно-щитовые, каркасные, глинобитные и фахверковые – срок службы зданий 30лет; - VI группа зданий – каркасно-камышитовые, из досок и прочие облегченные – 15 лет срок службы</w:t>
      </w:r>
      <w:r w:rsidR="00516AA2">
        <w:t xml:space="preserve"> </w:t>
      </w:r>
      <w:r>
        <w:t xml:space="preserve">зданий. </w:t>
      </w:r>
    </w:p>
    <w:p w:rsidR="00516AA2" w:rsidRPr="00516AA2" w:rsidRDefault="00990F92" w:rsidP="009807CD">
      <w:pPr>
        <w:jc w:val="center"/>
        <w:rPr>
          <w:b/>
        </w:rPr>
      </w:pPr>
      <w:r w:rsidRPr="00516AA2">
        <w:rPr>
          <w:b/>
        </w:rPr>
        <w:t xml:space="preserve">По благоустройству и инженерному оборудованию: </w:t>
      </w:r>
    </w:p>
    <w:p w:rsidR="00516AA2" w:rsidRDefault="00990F92" w:rsidP="00516AA2">
      <w:r>
        <w:t xml:space="preserve">- I – повышенное благоустройство, </w:t>
      </w:r>
      <w:r w:rsidR="00516AA2">
        <w:br/>
      </w:r>
      <w:r>
        <w:t xml:space="preserve">- II – среднее благоустройство, </w:t>
      </w:r>
      <w:r w:rsidR="00516AA2">
        <w:br/>
      </w:r>
      <w:r>
        <w:t xml:space="preserve">- III – пониженное благоустройство, </w:t>
      </w:r>
      <w:r w:rsidR="00516AA2">
        <w:br/>
      </w:r>
      <w:r>
        <w:t xml:space="preserve">- IV – минимальное благоустройство. </w:t>
      </w:r>
    </w:p>
    <w:p w:rsidR="00516AA2" w:rsidRPr="00516AA2" w:rsidRDefault="00990F92" w:rsidP="00516AA2">
      <w:pPr>
        <w:jc w:val="center"/>
        <w:rPr>
          <w:b/>
        </w:rPr>
      </w:pPr>
      <w:r w:rsidRPr="00516AA2">
        <w:rPr>
          <w:b/>
        </w:rPr>
        <w:t>Жилые и общественные здания по совокупности долговечности и огнестойкости делятся на классы:</w:t>
      </w:r>
    </w:p>
    <w:p w:rsidR="00990F92" w:rsidRDefault="00990F92" w:rsidP="00516AA2">
      <w:r>
        <w:t xml:space="preserve">- 1 класс – крупные жилые и общественные здания высотой более девяти этажей с повышенным благоустройством, I степени долговечности и огнестойкости; </w:t>
      </w:r>
      <w:r w:rsidR="00516AA2">
        <w:br/>
      </w:r>
      <w:r>
        <w:t xml:space="preserve">- 2 класс – общественные здания массового строительства и жилые дома высотой до девяти этажей со средним благоустройством, II степени долговечности и огнестойкости; </w:t>
      </w:r>
      <w:r w:rsidR="00516AA2">
        <w:br/>
      </w:r>
      <w:r>
        <w:t xml:space="preserve">- 3 класс – общественные здания небольшой вместимости в сельской местности и жилые дома высотой до пяти этажей с пониженным благоустройством, не ниже II степени долговечности и степени огнестойкости; </w:t>
      </w:r>
      <w:r w:rsidR="00516AA2">
        <w:br/>
      </w:r>
      <w:r>
        <w:t>- 4 класс – временные общественные здания и малоэтажные жилые дома с минимальным благоустройством, III степени долговечности и ненормированной огнестойкости.</w:t>
      </w:r>
    </w:p>
    <w:p w:rsidR="00A452B4" w:rsidRPr="00A452B4" w:rsidRDefault="00A452B4" w:rsidP="00516AA2">
      <w:pPr>
        <w:rPr>
          <w:b/>
        </w:rPr>
      </w:pPr>
      <w:r w:rsidRPr="00A452B4">
        <w:rPr>
          <w:b/>
        </w:rPr>
        <w:t xml:space="preserve">Особенности 1 группы (гражданские здания): </w:t>
      </w:r>
    </w:p>
    <w:p w:rsidR="00A452B4" w:rsidRDefault="00A452B4" w:rsidP="00516AA2">
      <w:r>
        <w:t xml:space="preserve">-малые нагрузки до 300кг / м 2 ; </w:t>
      </w:r>
      <w:r>
        <w:br/>
      </w:r>
      <w:r>
        <w:t xml:space="preserve">-малые пролеты, порядка 6 м; </w:t>
      </w:r>
      <w:r>
        <w:br/>
      </w:r>
      <w:r>
        <w:t xml:space="preserve">-преимущественно бескаркасная схема; </w:t>
      </w:r>
      <w:r>
        <w:br/>
      </w:r>
      <w:r>
        <w:t xml:space="preserve">-режим эксплуатации (отапливаемые); </w:t>
      </w:r>
      <w:r>
        <w:br/>
      </w:r>
      <w:r>
        <w:t>-естественное освещение.</w:t>
      </w:r>
    </w:p>
    <w:sectPr w:rsidR="00A4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3E"/>
    <w:rsid w:val="001C4817"/>
    <w:rsid w:val="002268C1"/>
    <w:rsid w:val="00516AA2"/>
    <w:rsid w:val="007D1014"/>
    <w:rsid w:val="009807CD"/>
    <w:rsid w:val="00990F92"/>
    <w:rsid w:val="00A452B4"/>
    <w:rsid w:val="00B94912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9849"/>
  <w15:chartTrackingRefBased/>
  <w15:docId w15:val="{F4C5AC55-7B42-4E61-9A53-8BA5002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2024-10-02T18:11:00Z</dcterms:created>
  <dcterms:modified xsi:type="dcterms:W3CDTF">2024-10-02T18:23:00Z</dcterms:modified>
</cp:coreProperties>
</file>