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89" w:rsidRDefault="00CC228C" w:rsidP="00CC2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Конспект урока по управлению персоналом </w:t>
      </w:r>
    </w:p>
    <w:p w:rsidR="00B73A89" w:rsidRDefault="00B73A89" w:rsidP="00CC22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C228C" w:rsidRPr="00366E2C" w:rsidRDefault="00CC228C" w:rsidP="00B73A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6E2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тему</w:t>
      </w:r>
      <w:r w:rsidR="00B73A89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</w:t>
      </w:r>
      <w:r w:rsidRPr="00366E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B73A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Обеспечение системы управления персоналом</w:t>
      </w:r>
      <w:r w:rsidRPr="00366E2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CC228C" w:rsidRPr="00366E2C" w:rsidRDefault="00CC228C" w:rsidP="00CC2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66E2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455CA" w:rsidRPr="004455CA" w:rsidRDefault="004455CA" w:rsidP="004455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Управление персоналом — это работа по созданию и поддержанию эффективной команды для решения поставленных бизнес задач. Это комплексный циклический процесс, который состоит из нескольких этапов: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планирование кадрового состава компании;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proofErr w:type="spellStart"/>
      <w:proofErr w:type="gramStart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найм</w:t>
      </w:r>
      <w:proofErr w:type="spellEnd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 xml:space="preserve"> и</w:t>
      </w:r>
      <w:proofErr w:type="gramEnd"/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 адаптация новых сотрудников;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непосредственное руководство персоналом для достижения целей бизнеса;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удержание и мотивация сотрудников;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их обучение и развитие;</w:t>
      </w:r>
    </w:p>
    <w:p w:rsidR="004455CA" w:rsidRPr="004455CA" w:rsidRDefault="004455CA" w:rsidP="004455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оценка и управление карьерным ростом.</w:t>
      </w:r>
    </w:p>
    <w:p w:rsidR="004455CA" w:rsidRPr="004455CA" w:rsidRDefault="004455CA" w:rsidP="004455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i/>
          <w:color w:val="000026"/>
          <w:sz w:val="28"/>
          <w:szCs w:val="28"/>
          <w:lang w:eastAsia="ru-RU"/>
        </w:rPr>
        <w:t>Таким образом, работа с персоналом подразумевает построение целой системы управления сотрудниками, которая охватывает все этапы продвижения человека внутри компании — от найма до увольнения.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   </w:t>
      </w:r>
    </w:p>
    <w:p w:rsidR="004455CA" w:rsidRPr="004455CA" w:rsidRDefault="004455CA" w:rsidP="004455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proofErr w:type="spellStart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Оргструктура</w:t>
      </w:r>
      <w:proofErr w:type="spellEnd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предприятия состоит из комплекса документов:</w:t>
      </w:r>
    </w:p>
    <w:p w:rsidR="004455CA" w:rsidRPr="004455CA" w:rsidRDefault="004455CA" w:rsidP="004455C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Положение об организационной структуре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— регламентирующий документ, который описывает все подразделения и их функции.</w:t>
      </w:r>
    </w:p>
    <w:p w:rsidR="004455CA" w:rsidRPr="004455CA" w:rsidRDefault="004455CA" w:rsidP="00445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Положение о структурных подразделениях.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 Документ составляется при необходимости детализировать работу подразделений, чтобы не нагружать основное положение.</w:t>
      </w:r>
    </w:p>
    <w:p w:rsidR="004455CA" w:rsidRPr="004455CA" w:rsidRDefault="004455CA" w:rsidP="004455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Должностные инструкции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. Описывают все функции и обязанности каждой должности.</w:t>
      </w:r>
    </w:p>
    <w:p w:rsidR="004455CA" w:rsidRDefault="004455CA" w:rsidP="004455C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Организационная схема (</w:t>
      </w:r>
      <w:proofErr w:type="spellStart"/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оргсхема</w:t>
      </w:r>
      <w:proofErr w:type="spellEnd"/>
      <w:r w:rsidRPr="004455CA">
        <w:rPr>
          <w:rFonts w:ascii="Times New Roman" w:eastAsia="Times New Roman" w:hAnsi="Times New Roman" w:cs="Times New Roman"/>
          <w:b/>
          <w:bCs/>
          <w:color w:val="000026"/>
          <w:sz w:val="28"/>
          <w:szCs w:val="28"/>
          <w:lang w:eastAsia="ru-RU"/>
        </w:rPr>
        <w:t>).</w:t>
      </w:r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 Она в графическом виде представляет </w:t>
      </w:r>
      <w:proofErr w:type="spellStart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оргструктуру</w:t>
      </w:r>
      <w:proofErr w:type="spellEnd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. </w:t>
      </w:r>
      <w:proofErr w:type="spellStart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>Оргсхема</w:t>
      </w:r>
      <w:proofErr w:type="spellEnd"/>
      <w:r w:rsidRPr="004455CA"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  <w:t xml:space="preserve"> визуализирует то, что подробно описано в «Положении об организационной структуре» и в «Положении о структурных подразделениях». Она дает возможность быстро понять, как устроена организация.</w:t>
      </w:r>
    </w:p>
    <w:p w:rsidR="00464B64" w:rsidRDefault="00464B64" w:rsidP="00464B64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B93C6B9" wp14:editId="7F3B8AB5">
            <wp:extent cx="4114800" cy="7000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64" w:rsidRDefault="00464B64" w:rsidP="00464B64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3E65C5A" wp14:editId="0771A47E">
            <wp:extent cx="4067175" cy="4448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64" w:rsidRDefault="00464B64" w:rsidP="00464B64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8872E4D" wp14:editId="750847AA">
            <wp:extent cx="4086225" cy="73533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2295B4E2" wp14:editId="6449065C">
            <wp:extent cx="4114800" cy="7296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B64" w:rsidRPr="004455CA" w:rsidRDefault="00464B64" w:rsidP="00464B64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26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737D4EA" wp14:editId="03EFCB2F">
            <wp:extent cx="4095750" cy="4724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B64" w:rsidRPr="004455CA" w:rsidSect="00B73A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7E1"/>
    <w:multiLevelType w:val="multilevel"/>
    <w:tmpl w:val="4198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051818"/>
    <w:multiLevelType w:val="multilevel"/>
    <w:tmpl w:val="F27A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22270B"/>
    <w:multiLevelType w:val="multilevel"/>
    <w:tmpl w:val="2C30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5E0AC0"/>
    <w:multiLevelType w:val="multilevel"/>
    <w:tmpl w:val="559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8C"/>
    <w:rsid w:val="003613C3"/>
    <w:rsid w:val="004455CA"/>
    <w:rsid w:val="00464B64"/>
    <w:rsid w:val="00881EFC"/>
    <w:rsid w:val="009D4B8D"/>
    <w:rsid w:val="00B73A89"/>
    <w:rsid w:val="00CC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2024-10-11T06:21:00Z</cp:lastPrinted>
  <dcterms:created xsi:type="dcterms:W3CDTF">2024-09-19T19:05:00Z</dcterms:created>
  <dcterms:modified xsi:type="dcterms:W3CDTF">2024-10-11T06:21:00Z</dcterms:modified>
</cp:coreProperties>
</file>