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E2F0E" w14:textId="77777777" w:rsidR="00FF5213" w:rsidRPr="00FF5213" w:rsidRDefault="00FF5213" w:rsidP="00FF521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82581910"/>
      <w:r w:rsidRPr="00FF521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Практическое занятие 5 «Почвенный профиль и морфологические признаки почвы». </w:t>
      </w:r>
    </w:p>
    <w:bookmarkEnd w:id="0"/>
    <w:p w14:paraId="099D8E33" w14:textId="15D7078B" w:rsidR="009D2BF3" w:rsidRDefault="00FF5213">
      <w:pPr>
        <w:rPr>
          <w:rFonts w:ascii="Times New Roman" w:hAnsi="Times New Roman" w:cs="Times New Roman"/>
          <w:sz w:val="28"/>
          <w:szCs w:val="28"/>
        </w:rPr>
      </w:pPr>
      <w:r w:rsidRPr="00FF521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Строение почвы</w:t>
      </w:r>
      <w:r w:rsidRPr="00FF521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FF5213">
        <w:rPr>
          <w:rFonts w:ascii="Times New Roman" w:hAnsi="Times New Roman" w:cs="Times New Roman"/>
          <w:sz w:val="28"/>
          <w:szCs w:val="28"/>
        </w:rPr>
        <w:t>Строение почвы – это совокупность генетических горизонтов, объединенных единым процессом почвообразования. Каждому почвенному типу свойственно особое сочетание горизонтов. Все они имеют свое название и буквенно-цифровой индекс. Понятие о строении почвенного профиля было введено в науку о почве и практику полевых почвенных исследований В.В. Докучаевым. Для обозначения горизонтов им были введены система индексов, в которой использованы первые буквы латинского алфавита: A, B, C, D. Кроме главных индексов используются дополнительные символы: малые буквы латинского алфавита и введены арабские и римские цифры.</w:t>
      </w:r>
    </w:p>
    <w:p w14:paraId="4579B61D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АО </w:t>
      </w:r>
      <w:r>
        <w:rPr>
          <w:sz w:val="28"/>
          <w:szCs w:val="28"/>
        </w:rPr>
        <w:t xml:space="preserve">– в лесах – лесная подстилка; на лугах – дернина; в целинной степи – степной войлок. При большой мощности (10-15 см) выделяются: </w:t>
      </w:r>
    </w:p>
    <w:p w14:paraId="694C60B5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АО' </w:t>
      </w:r>
      <w:r>
        <w:rPr>
          <w:sz w:val="28"/>
          <w:szCs w:val="28"/>
        </w:rPr>
        <w:t xml:space="preserve">– верхний рыхлый слой лесной подстилки (опад); </w:t>
      </w:r>
    </w:p>
    <w:p w14:paraId="3226E85B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АО'' </w:t>
      </w:r>
      <w:r>
        <w:rPr>
          <w:sz w:val="28"/>
          <w:szCs w:val="28"/>
        </w:rPr>
        <w:t xml:space="preserve">– средний уплотненный полуразложившийся слой лесной подстилки; </w:t>
      </w:r>
    </w:p>
    <w:p w14:paraId="19ACB46B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АО''' </w:t>
      </w:r>
      <w:r>
        <w:rPr>
          <w:sz w:val="28"/>
          <w:szCs w:val="28"/>
        </w:rPr>
        <w:t xml:space="preserve">– нижний перегнойный слой лесной подстилки. </w:t>
      </w:r>
    </w:p>
    <w:p w14:paraId="119219AE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А1 </w:t>
      </w:r>
      <w:r>
        <w:rPr>
          <w:sz w:val="28"/>
          <w:szCs w:val="28"/>
        </w:rPr>
        <w:t xml:space="preserve">– гумусово-аккумулятивный верхний горизонт профиля с морфологически выраженным процессом биологической аккумуляции. В результате гумификации и накопления гумуса горизонт имеет темный цвет. Мощность его колеблется от нескольких сантиметров до 1 метра и более. </w:t>
      </w:r>
    </w:p>
    <w:p w14:paraId="2CEFF384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Апах. </w:t>
      </w:r>
      <w:r>
        <w:rPr>
          <w:sz w:val="28"/>
          <w:szCs w:val="28"/>
        </w:rPr>
        <w:t xml:space="preserve">– пахотный горизонт почвы, измененный продолжительной обработкой, сформированный из различных почвенных горизонтов на глубину вспашки. </w:t>
      </w:r>
    </w:p>
    <w:p w14:paraId="0C5DD77D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А1А2 </w:t>
      </w:r>
      <w:r>
        <w:rPr>
          <w:sz w:val="28"/>
          <w:szCs w:val="28"/>
        </w:rPr>
        <w:t xml:space="preserve">– переходный к элювиальному. </w:t>
      </w:r>
    </w:p>
    <w:p w14:paraId="3001A413" w14:textId="77777777" w:rsidR="00FF5213" w:rsidRDefault="00FF5213" w:rsidP="00FF5213">
      <w:pPr>
        <w:pStyle w:val="Default"/>
        <w:rPr>
          <w:sz w:val="28"/>
          <w:szCs w:val="28"/>
        </w:rPr>
      </w:pPr>
      <w:r w:rsidRPr="00FF5213">
        <w:rPr>
          <w:b/>
          <w:bCs/>
          <w:sz w:val="28"/>
          <w:szCs w:val="28"/>
        </w:rPr>
        <w:t xml:space="preserve">А2 </w:t>
      </w:r>
      <w:r w:rsidRPr="00FF5213">
        <w:rPr>
          <w:sz w:val="28"/>
          <w:szCs w:val="28"/>
        </w:rPr>
        <w:t>– элювиальный или горизонт вымывания. Образуется за счет вымывания из него различных подвижных продуктов почвообразования и накопления остаточных, самых устойчивых труднорастворимых минералов (кварц, аморфный кремнезем). Вымывание красящих веществ и накопление светлых минералов обуславливает светлую белесую окраску. Вымывание глинистых частиц и коллоидов приводит к накоплению песчаных и пылевых частиц. Поэтому элювиальный горизонт выделяется в профиле более легким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гранулометрическим составом, непрочной плитчатой и листоватой структурой. </w:t>
      </w:r>
    </w:p>
    <w:p w14:paraId="4A002EC4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</w:t>
      </w:r>
      <w:r>
        <w:rPr>
          <w:sz w:val="28"/>
          <w:szCs w:val="28"/>
        </w:rPr>
        <w:t xml:space="preserve">– иллювиальный горизонт формируется в средней и нижней части профиля за счет вмывания в него из верхних горизонтов относительно подвижных продуктов почвообразования, перемещающихся в виде суспензий, коллоидных и истинных растворов, выпадающих в осадок. Здесь накапливаются различные продукты почвообразования, поэтому различают следующие виды иллювиальных горизонтов: </w:t>
      </w:r>
    </w:p>
    <w:p w14:paraId="040EE215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>
        <w:rPr>
          <w:b/>
          <w:bCs/>
          <w:sz w:val="18"/>
          <w:szCs w:val="18"/>
        </w:rPr>
        <w:t xml:space="preserve">Fe </w:t>
      </w:r>
      <w:r>
        <w:rPr>
          <w:sz w:val="28"/>
          <w:szCs w:val="28"/>
        </w:rPr>
        <w:t xml:space="preserve">– вмывание железистых веществ; </w:t>
      </w:r>
    </w:p>
    <w:p w14:paraId="4A04010B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>
        <w:rPr>
          <w:b/>
          <w:bCs/>
          <w:sz w:val="18"/>
          <w:szCs w:val="18"/>
        </w:rPr>
        <w:t xml:space="preserve">h </w:t>
      </w:r>
      <w:r>
        <w:rPr>
          <w:sz w:val="28"/>
          <w:szCs w:val="28"/>
        </w:rPr>
        <w:t xml:space="preserve">– вмывание гумусовых веществ; </w:t>
      </w:r>
    </w:p>
    <w:p w14:paraId="16A8CC6E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>В</w:t>
      </w:r>
      <w:r>
        <w:rPr>
          <w:b/>
          <w:bCs/>
          <w:sz w:val="18"/>
          <w:szCs w:val="18"/>
        </w:rPr>
        <w:t xml:space="preserve">Са </w:t>
      </w:r>
      <w:r>
        <w:rPr>
          <w:sz w:val="28"/>
          <w:szCs w:val="28"/>
        </w:rPr>
        <w:t xml:space="preserve">– вмывание карбонатов; </w:t>
      </w:r>
    </w:p>
    <w:p w14:paraId="75492B78" w14:textId="6FC60B2C" w:rsidR="00FF5213" w:rsidRDefault="00FF5213" w:rsidP="00FF5213">
      <w:pPr>
        <w:rPr>
          <w:sz w:val="28"/>
          <w:szCs w:val="28"/>
        </w:rPr>
      </w:pPr>
      <w:r w:rsidRPr="00FF5213">
        <w:rPr>
          <w:rFonts w:ascii="Times New Roman" w:hAnsi="Times New Roman" w:cs="Times New Roman"/>
          <w:b/>
          <w:bCs/>
          <w:sz w:val="28"/>
          <w:szCs w:val="28"/>
        </w:rPr>
        <w:lastRenderedPageBreak/>
        <w:t>В</w:t>
      </w:r>
      <w:r w:rsidRPr="00FF5213">
        <w:rPr>
          <w:rFonts w:ascii="Times New Roman" w:hAnsi="Times New Roman" w:cs="Times New Roman"/>
          <w:b/>
          <w:bCs/>
          <w:sz w:val="18"/>
          <w:szCs w:val="18"/>
        </w:rPr>
        <w:t xml:space="preserve">t </w:t>
      </w:r>
      <w:r w:rsidRPr="00FF5213">
        <w:rPr>
          <w:rFonts w:ascii="Times New Roman" w:hAnsi="Times New Roman" w:cs="Times New Roman"/>
          <w:sz w:val="28"/>
          <w:szCs w:val="28"/>
        </w:rPr>
        <w:t>– вмывание илистых частиц почвы</w:t>
      </w:r>
      <w:r>
        <w:rPr>
          <w:sz w:val="28"/>
          <w:szCs w:val="28"/>
        </w:rPr>
        <w:t>.</w:t>
      </w:r>
    </w:p>
    <w:p w14:paraId="44A20706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</w:t>
      </w:r>
      <w:r>
        <w:rPr>
          <w:sz w:val="28"/>
          <w:szCs w:val="28"/>
        </w:rPr>
        <w:t>почвах, где не наблюдается перемещения минеральной алюмосиликатной основы (черноземы, каштановые почвы), горизонт В является не иллювиальным, а переходным от гумусово-аккумулятивного к почвообразующей породе. Он часто расчленяется на подгоризонты В1, В2, В3 по характеру структуры и сложения. В буроземных почвах (бурых лесных и буротаежных) горизонт В является метаморфическим (В</w:t>
      </w:r>
      <w:r>
        <w:rPr>
          <w:sz w:val="18"/>
          <w:szCs w:val="18"/>
        </w:rPr>
        <w:t>m</w:t>
      </w:r>
      <w:r>
        <w:rPr>
          <w:sz w:val="28"/>
          <w:szCs w:val="28"/>
        </w:rPr>
        <w:t xml:space="preserve">), основные морфологические признаки которых сформировались в результате изменения исходной породы на месте, в частности оглинивания. </w:t>
      </w:r>
    </w:p>
    <w:p w14:paraId="16F437FD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ВС </w:t>
      </w:r>
      <w:r>
        <w:rPr>
          <w:sz w:val="28"/>
          <w:szCs w:val="28"/>
        </w:rPr>
        <w:t xml:space="preserve">– переходный горизонт к почвообразующей породе. </w:t>
      </w:r>
    </w:p>
    <w:p w14:paraId="3214B157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С </w:t>
      </w:r>
      <w:r>
        <w:rPr>
          <w:sz w:val="28"/>
          <w:szCs w:val="28"/>
        </w:rPr>
        <w:t xml:space="preserve">– почвообразующая порода, из которой сформировалась данная почва, не затронутая специфическими процессами почвообразования. </w:t>
      </w:r>
    </w:p>
    <w:p w14:paraId="5EE41492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 </w:t>
      </w:r>
      <w:r>
        <w:rPr>
          <w:sz w:val="28"/>
          <w:szCs w:val="28"/>
        </w:rPr>
        <w:t xml:space="preserve">– подстилающая порода (гранит, сиенит, песчаник, известняк и др.). </w:t>
      </w:r>
    </w:p>
    <w:p w14:paraId="6EF60731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 образовании горизонтов торфяных болотных почв используются следующие индексы: </w:t>
      </w:r>
    </w:p>
    <w:p w14:paraId="6F7EE10D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Т1 </w:t>
      </w:r>
      <w:r>
        <w:rPr>
          <w:sz w:val="28"/>
          <w:szCs w:val="28"/>
        </w:rPr>
        <w:t xml:space="preserve">– очес, то есть верхний слой неразложившихся растительных остатков; </w:t>
      </w:r>
    </w:p>
    <w:p w14:paraId="718CB278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Т2 </w:t>
      </w:r>
      <w:r>
        <w:rPr>
          <w:sz w:val="28"/>
          <w:szCs w:val="28"/>
        </w:rPr>
        <w:t xml:space="preserve">– торфянистый горизонт; </w:t>
      </w:r>
    </w:p>
    <w:p w14:paraId="3DA7A473" w14:textId="77777777" w:rsidR="00FF5213" w:rsidRDefault="00FF5213" w:rsidP="00FF5213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Т3 </w:t>
      </w:r>
      <w:r>
        <w:rPr>
          <w:sz w:val="28"/>
          <w:szCs w:val="28"/>
        </w:rPr>
        <w:t xml:space="preserve">– перегнойный горизонт; </w:t>
      </w:r>
    </w:p>
    <w:p w14:paraId="1BA79D42" w14:textId="6A0ABE4B" w:rsidR="00FF5213" w:rsidRDefault="00FF5213" w:rsidP="00FF5213">
      <w:pPr>
        <w:rPr>
          <w:rFonts w:ascii="Times New Roman" w:hAnsi="Times New Roman" w:cs="Times New Roman"/>
          <w:sz w:val="28"/>
          <w:szCs w:val="28"/>
        </w:rPr>
      </w:pPr>
      <w:r w:rsidRPr="00647B6C">
        <w:rPr>
          <w:rFonts w:ascii="Times New Roman" w:hAnsi="Times New Roman" w:cs="Times New Roman"/>
          <w:b/>
          <w:bCs/>
          <w:sz w:val="28"/>
          <w:szCs w:val="28"/>
        </w:rPr>
        <w:t xml:space="preserve">G </w:t>
      </w:r>
      <w:r w:rsidRPr="00647B6C">
        <w:rPr>
          <w:rFonts w:ascii="Times New Roman" w:hAnsi="Times New Roman" w:cs="Times New Roman"/>
          <w:sz w:val="28"/>
          <w:szCs w:val="28"/>
        </w:rPr>
        <w:t>– глеевый горизонт образуется при постоянном и временном застое в пределах почвенной</w:t>
      </w:r>
      <w:r w:rsidR="00647B6C">
        <w:rPr>
          <w:rFonts w:ascii="Times New Roman" w:hAnsi="Times New Roman" w:cs="Times New Roman"/>
          <w:sz w:val="28"/>
          <w:szCs w:val="28"/>
        </w:rPr>
        <w:t xml:space="preserve"> </w:t>
      </w:r>
      <w:r w:rsidR="00647B6C" w:rsidRPr="00647B6C">
        <w:rPr>
          <w:rFonts w:ascii="Times New Roman" w:hAnsi="Times New Roman" w:cs="Times New Roman"/>
          <w:sz w:val="28"/>
          <w:szCs w:val="28"/>
        </w:rPr>
        <w:t>толщи влаги или при близком залегании грунтовых вод</w:t>
      </w:r>
      <w:r w:rsidR="00647B6C">
        <w:rPr>
          <w:rFonts w:ascii="Times New Roman" w:hAnsi="Times New Roman" w:cs="Times New Roman"/>
          <w:sz w:val="28"/>
          <w:szCs w:val="28"/>
        </w:rPr>
        <w:t>.</w:t>
      </w:r>
    </w:p>
    <w:p w14:paraId="3933342A" w14:textId="0B4694CB" w:rsidR="00647B6C" w:rsidRDefault="00647B6C" w:rsidP="00FF5213">
      <w:pPr>
        <w:rPr>
          <w:rFonts w:ascii="Times New Roman" w:hAnsi="Times New Roman" w:cs="Times New Roman"/>
          <w:sz w:val="28"/>
          <w:szCs w:val="28"/>
        </w:rPr>
      </w:pPr>
      <w:r w:rsidRPr="00647B6C">
        <w:rPr>
          <w:rFonts w:ascii="Times New Roman" w:hAnsi="Times New Roman" w:cs="Times New Roman"/>
          <w:sz w:val="28"/>
          <w:szCs w:val="28"/>
        </w:rPr>
        <w:t>Строение почв может быть выражено по-разному. В одних случаях горизонты четко выделяются в профиле, в других – проявляются слабо. Это зависит от типа и возраста почв и особенностей почвообразующей породы.</w:t>
      </w:r>
    </w:p>
    <w:p w14:paraId="2DC6E0D3" w14:textId="09D32B71" w:rsidR="00E44D40" w:rsidRDefault="00E44D40" w:rsidP="00FF5213">
      <w:pPr>
        <w:rPr>
          <w:rFonts w:ascii="Times New Roman" w:hAnsi="Times New Roman" w:cs="Times New Roman"/>
          <w:sz w:val="28"/>
          <w:szCs w:val="28"/>
        </w:rPr>
      </w:pPr>
      <w:r w:rsidRPr="00E44D4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Мощность почвы и горизонта. </w:t>
      </w:r>
      <w:r w:rsidRPr="00E44D40">
        <w:rPr>
          <w:rFonts w:ascii="Times New Roman" w:hAnsi="Times New Roman" w:cs="Times New Roman"/>
          <w:sz w:val="28"/>
          <w:szCs w:val="28"/>
        </w:rPr>
        <w:t xml:space="preserve">При установлении характера почвообразовательных процессов и оценки агрономических свойств почв по морфологическим признакам важно учитывать мощность отдельных горизонтов и почвенного профиля в целом. </w:t>
      </w:r>
      <w:r w:rsidRPr="00E44D40">
        <w:rPr>
          <w:rFonts w:ascii="Times New Roman" w:hAnsi="Times New Roman" w:cs="Times New Roman"/>
          <w:b/>
          <w:bCs/>
          <w:sz w:val="28"/>
          <w:szCs w:val="28"/>
        </w:rPr>
        <w:t xml:space="preserve">Мощностью почвы </w:t>
      </w:r>
      <w:r w:rsidRPr="00E44D40">
        <w:rPr>
          <w:rFonts w:ascii="Times New Roman" w:hAnsi="Times New Roman" w:cs="Times New Roman"/>
          <w:sz w:val="28"/>
          <w:szCs w:val="28"/>
        </w:rPr>
        <w:t>называется толща от ее поверхности вглубь до слабо затронутой почвообразовательными процессами почвообразующей породы.</w:t>
      </w:r>
    </w:p>
    <w:p w14:paraId="5D31937F" w14:textId="5DE44F8E" w:rsidR="00E44D40" w:rsidRPr="00E44D40" w:rsidRDefault="00E44D40" w:rsidP="00E44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D40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Мощность почв колеблется в среднем от 50 до 150см. Условно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D4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почвы делят по мощности профиля на маломощные (менее 50см);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D40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среднемощные (50-100см); мощные (100-150см); сверхмощные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D40">
        <w:rPr>
          <w:rFonts w:ascii="Times New Roman" w:eastAsia="Times New Roman" w:hAnsi="Times New Roman" w:cs="Times New Roman"/>
          <w:sz w:val="28"/>
          <w:szCs w:val="28"/>
          <w:lang w:eastAsia="ru-RU"/>
        </w:rPr>
        <w:t>(150- 200см).</w:t>
      </w:r>
    </w:p>
    <w:p w14:paraId="24CB630B" w14:textId="4B0FA531" w:rsidR="00E44D40" w:rsidRDefault="00E44D40" w:rsidP="00E44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4D40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Общую мощность профиля (см) измеряют от поверхности до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4D40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материнской породы сантиметровой лентой или рулеткой</w:t>
      </w:r>
    </w:p>
    <w:p w14:paraId="32411AA0" w14:textId="77777777" w:rsidR="00915D15" w:rsidRPr="00E44D40" w:rsidRDefault="00915D15" w:rsidP="00E44D4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5364D72" w14:textId="63AB27E2" w:rsidR="00E44D40" w:rsidRDefault="00915D15" w:rsidP="00FF5213">
      <w:pPr>
        <w:rPr>
          <w:rFonts w:ascii="Times New Roman" w:hAnsi="Times New Roman" w:cs="Times New Roman"/>
          <w:sz w:val="28"/>
          <w:szCs w:val="28"/>
        </w:rPr>
      </w:pPr>
      <w:r w:rsidRPr="00915D15">
        <w:rPr>
          <w:rFonts w:ascii="Times New Roman" w:hAnsi="Times New Roman" w:cs="Times New Roman"/>
          <w:b/>
          <w:bCs/>
          <w:i/>
          <w:iCs/>
          <w:sz w:val="28"/>
          <w:szCs w:val="28"/>
        </w:rPr>
        <w:t>Характер и формы перехода почвенных горизонтов</w:t>
      </w:r>
      <w:r w:rsidRPr="00915D1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15D15">
        <w:rPr>
          <w:rFonts w:ascii="Times New Roman" w:hAnsi="Times New Roman" w:cs="Times New Roman"/>
          <w:sz w:val="28"/>
          <w:szCs w:val="28"/>
        </w:rPr>
        <w:t>При описании морфологических признаков важно указать характер и форму перехода одного горизонта в другой. Для этого можно пользоваться следующими градациями переходов</w:t>
      </w:r>
    </w:p>
    <w:p w14:paraId="1282FF5B" w14:textId="77777777" w:rsidR="00915D15" w:rsidRDefault="00915D15" w:rsidP="00915D1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резкий переход </w:t>
      </w:r>
      <w:r>
        <w:rPr>
          <w:sz w:val="28"/>
          <w:szCs w:val="28"/>
        </w:rPr>
        <w:t xml:space="preserve">– смена одного горизонта другим происходит на протяжении 2-3 см; </w:t>
      </w:r>
    </w:p>
    <w:p w14:paraId="468B0C44" w14:textId="77777777" w:rsidR="00915D15" w:rsidRPr="00915D15" w:rsidRDefault="00915D15" w:rsidP="00915D15">
      <w:pPr>
        <w:pStyle w:val="Default"/>
        <w:rPr>
          <w:sz w:val="28"/>
          <w:szCs w:val="28"/>
        </w:rPr>
      </w:pPr>
      <w:r w:rsidRPr="00915D15">
        <w:rPr>
          <w:b/>
          <w:bCs/>
          <w:sz w:val="28"/>
          <w:szCs w:val="28"/>
        </w:rPr>
        <w:lastRenderedPageBreak/>
        <w:t xml:space="preserve">ясный </w:t>
      </w:r>
      <w:r w:rsidRPr="00915D15">
        <w:rPr>
          <w:sz w:val="28"/>
          <w:szCs w:val="28"/>
        </w:rPr>
        <w:t xml:space="preserve">переход – смена горизонтов происходит на протяжении 5 см; </w:t>
      </w:r>
    </w:p>
    <w:p w14:paraId="3825F872" w14:textId="4F394A39" w:rsidR="00915D15" w:rsidRDefault="00915D15" w:rsidP="00915D15">
      <w:pPr>
        <w:rPr>
          <w:rFonts w:ascii="Times New Roman" w:hAnsi="Times New Roman" w:cs="Times New Roman"/>
          <w:sz w:val="28"/>
          <w:szCs w:val="28"/>
        </w:rPr>
      </w:pPr>
      <w:r w:rsidRPr="00915D15">
        <w:rPr>
          <w:rFonts w:ascii="Times New Roman" w:hAnsi="Times New Roman" w:cs="Times New Roman"/>
          <w:b/>
          <w:bCs/>
          <w:sz w:val="28"/>
          <w:szCs w:val="28"/>
        </w:rPr>
        <w:t xml:space="preserve">постепенный </w:t>
      </w:r>
      <w:r w:rsidRPr="00915D15">
        <w:rPr>
          <w:rFonts w:ascii="Times New Roman" w:hAnsi="Times New Roman" w:cs="Times New Roman"/>
          <w:sz w:val="28"/>
          <w:szCs w:val="28"/>
        </w:rPr>
        <w:t>переход – очень постепенная смена горизонтов на протяжении более 5 см.</w:t>
      </w:r>
    </w:p>
    <w:p w14:paraId="63E1462B" w14:textId="1E81CA40" w:rsidR="008920B7" w:rsidRDefault="008920B7" w:rsidP="00915D15">
      <w:pPr>
        <w:rPr>
          <w:rFonts w:ascii="Times New Roman" w:hAnsi="Times New Roman" w:cs="Times New Roman"/>
          <w:sz w:val="28"/>
          <w:szCs w:val="28"/>
        </w:rPr>
      </w:pPr>
      <w:r w:rsidRPr="008920B7">
        <w:rPr>
          <w:rFonts w:ascii="Times New Roman" w:hAnsi="Times New Roman" w:cs="Times New Roman"/>
          <w:sz w:val="28"/>
          <w:szCs w:val="28"/>
        </w:rPr>
        <w:t xml:space="preserve">Нижняя граница горизонта может быть: </w:t>
      </w:r>
      <w:r w:rsidRPr="008920B7">
        <w:rPr>
          <w:rFonts w:ascii="Times New Roman" w:hAnsi="Times New Roman" w:cs="Times New Roman"/>
          <w:b/>
          <w:bCs/>
          <w:sz w:val="28"/>
          <w:szCs w:val="28"/>
        </w:rPr>
        <w:t>ровная</w:t>
      </w:r>
      <w:r w:rsidRPr="008920B7">
        <w:rPr>
          <w:rFonts w:ascii="Times New Roman" w:hAnsi="Times New Roman" w:cs="Times New Roman"/>
          <w:sz w:val="28"/>
          <w:szCs w:val="28"/>
        </w:rPr>
        <w:t xml:space="preserve">; </w:t>
      </w:r>
      <w:r w:rsidRPr="008920B7">
        <w:rPr>
          <w:rFonts w:ascii="Times New Roman" w:hAnsi="Times New Roman" w:cs="Times New Roman"/>
          <w:b/>
          <w:bCs/>
          <w:sz w:val="28"/>
          <w:szCs w:val="28"/>
        </w:rPr>
        <w:t xml:space="preserve">волнистая </w:t>
      </w:r>
      <w:r w:rsidRPr="008920B7">
        <w:rPr>
          <w:rFonts w:ascii="Times New Roman" w:hAnsi="Times New Roman" w:cs="Times New Roman"/>
          <w:sz w:val="28"/>
          <w:szCs w:val="28"/>
        </w:rPr>
        <w:t xml:space="preserve">– отношение амплитуды к длине волны менее 0,5; </w:t>
      </w:r>
      <w:r w:rsidRPr="008920B7">
        <w:rPr>
          <w:rFonts w:ascii="Times New Roman" w:hAnsi="Times New Roman" w:cs="Times New Roman"/>
          <w:b/>
          <w:bCs/>
          <w:sz w:val="28"/>
          <w:szCs w:val="28"/>
        </w:rPr>
        <w:t xml:space="preserve">карманная </w:t>
      </w:r>
      <w:r w:rsidRPr="008920B7">
        <w:rPr>
          <w:rFonts w:ascii="Times New Roman" w:hAnsi="Times New Roman" w:cs="Times New Roman"/>
          <w:sz w:val="28"/>
          <w:szCs w:val="28"/>
        </w:rPr>
        <w:t xml:space="preserve">– отношение глубины к ширине затеков (карманов) от 0,5 до 2; </w:t>
      </w:r>
      <w:r w:rsidRPr="008920B7">
        <w:rPr>
          <w:rFonts w:ascii="Times New Roman" w:hAnsi="Times New Roman" w:cs="Times New Roman"/>
          <w:b/>
          <w:bCs/>
          <w:sz w:val="28"/>
          <w:szCs w:val="28"/>
        </w:rPr>
        <w:t xml:space="preserve">языковатая </w:t>
      </w:r>
      <w:r w:rsidRPr="008920B7">
        <w:rPr>
          <w:rFonts w:ascii="Times New Roman" w:hAnsi="Times New Roman" w:cs="Times New Roman"/>
          <w:sz w:val="28"/>
          <w:szCs w:val="28"/>
        </w:rPr>
        <w:t xml:space="preserve">– отношение глубины языков к их ширине от 2 до 5; </w:t>
      </w:r>
      <w:r w:rsidRPr="008920B7">
        <w:rPr>
          <w:rFonts w:ascii="Times New Roman" w:hAnsi="Times New Roman" w:cs="Times New Roman"/>
          <w:b/>
          <w:bCs/>
          <w:sz w:val="28"/>
          <w:szCs w:val="28"/>
        </w:rPr>
        <w:t xml:space="preserve">затёчная </w:t>
      </w:r>
      <w:r w:rsidRPr="008920B7">
        <w:rPr>
          <w:rFonts w:ascii="Times New Roman" w:hAnsi="Times New Roman" w:cs="Times New Roman"/>
          <w:sz w:val="28"/>
          <w:szCs w:val="28"/>
        </w:rPr>
        <w:t xml:space="preserve">– отношение глубины затеков к их ширине более 5; </w:t>
      </w:r>
      <w:r w:rsidRPr="008920B7">
        <w:rPr>
          <w:rFonts w:ascii="Times New Roman" w:hAnsi="Times New Roman" w:cs="Times New Roman"/>
          <w:b/>
          <w:bCs/>
          <w:sz w:val="28"/>
          <w:szCs w:val="28"/>
        </w:rPr>
        <w:t xml:space="preserve">размытая </w:t>
      </w:r>
      <w:r w:rsidRPr="008920B7">
        <w:rPr>
          <w:rFonts w:ascii="Times New Roman" w:hAnsi="Times New Roman" w:cs="Times New Roman"/>
          <w:sz w:val="28"/>
          <w:szCs w:val="28"/>
        </w:rPr>
        <w:t>– граница между горизонтами столь извилиста, что вся лежит в пределах какого-то слоя, выделяемого как переходный горизонт</w:t>
      </w:r>
    </w:p>
    <w:p w14:paraId="7852A07D" w14:textId="77777777" w:rsidR="00406DA2" w:rsidRDefault="00406DA2" w:rsidP="00406DA2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Окраска почвы. </w:t>
      </w:r>
      <w:r>
        <w:rPr>
          <w:sz w:val="28"/>
          <w:szCs w:val="28"/>
        </w:rPr>
        <w:t xml:space="preserve">Определение цвета в поле всегда имеет субъективный характер, так как зависит от способности почвоведа воспринимать цветовые оттенки и разбираться в их тональности. </w:t>
      </w:r>
    </w:p>
    <w:p w14:paraId="7438C41A" w14:textId="398945FF" w:rsidR="00406DA2" w:rsidRDefault="00406DA2" w:rsidP="00406DA2">
      <w:pPr>
        <w:rPr>
          <w:rFonts w:ascii="Times New Roman" w:hAnsi="Times New Roman" w:cs="Times New Roman"/>
          <w:sz w:val="28"/>
          <w:szCs w:val="28"/>
        </w:rPr>
      </w:pPr>
      <w:r w:rsidRPr="00406DA2">
        <w:rPr>
          <w:rFonts w:ascii="Times New Roman" w:hAnsi="Times New Roman" w:cs="Times New Roman"/>
          <w:sz w:val="28"/>
          <w:szCs w:val="28"/>
        </w:rPr>
        <w:t>Окраска почвы изменяется по профилю довольно в широких пределах: черная, бурая, серая, белесая, палевая, желтая, коричневая и др.</w:t>
      </w: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961"/>
        <w:gridCol w:w="3961"/>
      </w:tblGrid>
      <w:tr w:rsidR="00775DF1" w14:paraId="72F3EBBC" w14:textId="77777777">
        <w:tblPrEx>
          <w:tblCellMar>
            <w:top w:w="0" w:type="dxa"/>
            <w:bottom w:w="0" w:type="dxa"/>
          </w:tblCellMar>
        </w:tblPrEx>
        <w:trPr>
          <w:trHeight w:val="1335"/>
        </w:trPr>
        <w:tc>
          <w:tcPr>
            <w:tcW w:w="3961" w:type="dxa"/>
          </w:tcPr>
          <w:p w14:paraId="4F8838F4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Наиболее употребляемые выражения цвета почвы приводятся в следующем перечне: Основной цвет </w:t>
            </w:r>
            <w:r>
              <w:rPr>
                <w:b/>
                <w:bCs/>
                <w:sz w:val="28"/>
                <w:szCs w:val="28"/>
              </w:rPr>
              <w:t xml:space="preserve">черный </w:t>
            </w:r>
          </w:p>
          <w:p w14:paraId="37FDD1B1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интенсивно черный </w:t>
            </w:r>
          </w:p>
          <w:p w14:paraId="1F62401B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серовато-черный </w:t>
            </w:r>
          </w:p>
          <w:p w14:paraId="17420641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серо-черный </w:t>
            </w:r>
          </w:p>
          <w:p w14:paraId="5AF6B92A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буровато-черный </w:t>
            </w:r>
          </w:p>
          <w:p w14:paraId="462A5A06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буро-черный </w:t>
            </w:r>
          </w:p>
        </w:tc>
        <w:tc>
          <w:tcPr>
            <w:tcW w:w="3961" w:type="dxa"/>
          </w:tcPr>
          <w:p w14:paraId="61CC62E2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Основной цвет </w:t>
            </w:r>
            <w:r>
              <w:rPr>
                <w:b/>
                <w:bCs/>
                <w:sz w:val="28"/>
                <w:szCs w:val="28"/>
              </w:rPr>
              <w:t xml:space="preserve">серый </w:t>
            </w:r>
          </w:p>
          <w:p w14:paraId="78FA559C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буро-серый </w:t>
            </w:r>
          </w:p>
          <w:p w14:paraId="36B335E3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темно-серый </w:t>
            </w:r>
          </w:p>
          <w:p w14:paraId="142714D1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светло-серый </w:t>
            </w:r>
          </w:p>
          <w:p w14:paraId="3A56571D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белесо-серый </w:t>
            </w:r>
          </w:p>
          <w:p w14:paraId="1D58CE6D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голубовато-серый (сизый) </w:t>
            </w:r>
          </w:p>
        </w:tc>
      </w:tr>
      <w:tr w:rsidR="00775DF1" w14:paraId="76C3DD2B" w14:textId="77777777">
        <w:tblPrEx>
          <w:tblCellMar>
            <w:top w:w="0" w:type="dxa"/>
            <w:bottom w:w="0" w:type="dxa"/>
          </w:tblCellMar>
        </w:tblPrEx>
        <w:trPr>
          <w:trHeight w:val="1818"/>
        </w:trPr>
        <w:tc>
          <w:tcPr>
            <w:tcW w:w="3961" w:type="dxa"/>
          </w:tcPr>
          <w:p w14:paraId="12A777B9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Основной цвет </w:t>
            </w:r>
            <w:r>
              <w:rPr>
                <w:b/>
                <w:bCs/>
                <w:sz w:val="28"/>
                <w:szCs w:val="28"/>
              </w:rPr>
              <w:t xml:space="preserve">белый </w:t>
            </w:r>
          </w:p>
          <w:p w14:paraId="3DA8A164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желтовато-белый </w:t>
            </w:r>
          </w:p>
          <w:p w14:paraId="0944411D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палево-белый </w:t>
            </w:r>
          </w:p>
          <w:p w14:paraId="1A82A977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розовато-белый </w:t>
            </w:r>
          </w:p>
          <w:p w14:paraId="21ABE8FD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зеленовато-белый </w:t>
            </w:r>
          </w:p>
        </w:tc>
        <w:tc>
          <w:tcPr>
            <w:tcW w:w="3961" w:type="dxa"/>
          </w:tcPr>
          <w:p w14:paraId="5B15F292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Основной цвет </w:t>
            </w:r>
            <w:r>
              <w:rPr>
                <w:b/>
                <w:bCs/>
                <w:sz w:val="28"/>
                <w:szCs w:val="28"/>
              </w:rPr>
              <w:t xml:space="preserve">бурый </w:t>
            </w:r>
          </w:p>
          <w:p w14:paraId="7407C1DF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черно-бурый </w:t>
            </w:r>
          </w:p>
          <w:p w14:paraId="68A58B5C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серо-бурый </w:t>
            </w:r>
          </w:p>
          <w:p w14:paraId="31E0324C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темно-бурый </w:t>
            </w:r>
          </w:p>
          <w:p w14:paraId="00F65A57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светло-бурый </w:t>
            </w:r>
          </w:p>
          <w:p w14:paraId="05F46F16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палево-бурый </w:t>
            </w:r>
          </w:p>
          <w:p w14:paraId="0D564A4E" w14:textId="77777777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желто-бурый </w:t>
            </w:r>
          </w:p>
          <w:p w14:paraId="78086DD4" w14:textId="77777777" w:rsidR="00AE6F58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красно-бурый</w:t>
            </w:r>
          </w:p>
          <w:p w14:paraId="426D50DC" w14:textId="029DBA80" w:rsidR="00775DF1" w:rsidRDefault="00775DF1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</w:tc>
      </w:tr>
    </w:tbl>
    <w:p w14:paraId="7B5C21CC" w14:textId="77777777" w:rsidR="00AE6F58" w:rsidRPr="00AE6F58" w:rsidRDefault="00AE6F58" w:rsidP="00AE6F58">
      <w:pPr>
        <w:rPr>
          <w:rFonts w:ascii="Times New Roman" w:hAnsi="Times New Roman" w:cs="Times New Roman"/>
          <w:sz w:val="28"/>
          <w:szCs w:val="28"/>
        </w:rPr>
      </w:pPr>
      <w:r w:rsidRPr="00AE6F58">
        <w:rPr>
          <w:rFonts w:ascii="Times New Roman" w:hAnsi="Times New Roman" w:cs="Times New Roman"/>
          <w:sz w:val="28"/>
          <w:szCs w:val="28"/>
        </w:rPr>
        <w:t>зеленовато-бурый</w:t>
      </w:r>
    </w:p>
    <w:p w14:paraId="18899AA1" w14:textId="77777777" w:rsidR="00AE6F58" w:rsidRPr="00AE6F58" w:rsidRDefault="00AE6F58" w:rsidP="00AE6F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6F58">
        <w:rPr>
          <w:rFonts w:ascii="Times New Roman" w:hAnsi="Times New Roman" w:cs="Times New Roman"/>
          <w:sz w:val="28"/>
          <w:szCs w:val="28"/>
        </w:rPr>
        <w:t xml:space="preserve">Основной цвет </w:t>
      </w:r>
      <w:r w:rsidRPr="00AE6F58">
        <w:rPr>
          <w:rFonts w:ascii="Times New Roman" w:hAnsi="Times New Roman" w:cs="Times New Roman"/>
          <w:b/>
          <w:bCs/>
          <w:sz w:val="28"/>
          <w:szCs w:val="28"/>
        </w:rPr>
        <w:t>желтый</w:t>
      </w:r>
    </w:p>
    <w:p w14:paraId="71FDCE5A" w14:textId="77777777" w:rsidR="00AE6F58" w:rsidRPr="00AE6F58" w:rsidRDefault="00AE6F58" w:rsidP="00AE6F58">
      <w:pPr>
        <w:rPr>
          <w:rFonts w:ascii="Times New Roman" w:hAnsi="Times New Roman" w:cs="Times New Roman"/>
          <w:sz w:val="28"/>
          <w:szCs w:val="28"/>
        </w:rPr>
      </w:pPr>
      <w:r w:rsidRPr="00AE6F58">
        <w:rPr>
          <w:rFonts w:ascii="Times New Roman" w:hAnsi="Times New Roman" w:cs="Times New Roman"/>
          <w:sz w:val="28"/>
          <w:szCs w:val="28"/>
        </w:rPr>
        <w:t>буровато-желтый</w:t>
      </w:r>
    </w:p>
    <w:p w14:paraId="30E257EB" w14:textId="77777777" w:rsidR="00AE6F58" w:rsidRPr="00AE6F58" w:rsidRDefault="00AE6F58" w:rsidP="00AE6F58">
      <w:pPr>
        <w:rPr>
          <w:rFonts w:ascii="Times New Roman" w:hAnsi="Times New Roman" w:cs="Times New Roman"/>
          <w:sz w:val="28"/>
          <w:szCs w:val="28"/>
        </w:rPr>
      </w:pPr>
      <w:r w:rsidRPr="00AE6F58">
        <w:rPr>
          <w:rFonts w:ascii="Times New Roman" w:hAnsi="Times New Roman" w:cs="Times New Roman"/>
          <w:sz w:val="28"/>
          <w:szCs w:val="28"/>
        </w:rPr>
        <w:t>охристо-желтый</w:t>
      </w:r>
    </w:p>
    <w:p w14:paraId="7653AAB5" w14:textId="77777777" w:rsidR="00AE6F58" w:rsidRPr="00AE6F58" w:rsidRDefault="00AE6F58" w:rsidP="00AE6F58">
      <w:pPr>
        <w:rPr>
          <w:rFonts w:ascii="Times New Roman" w:hAnsi="Times New Roman" w:cs="Times New Roman"/>
          <w:sz w:val="28"/>
          <w:szCs w:val="28"/>
        </w:rPr>
      </w:pPr>
      <w:r w:rsidRPr="00AE6F58">
        <w:rPr>
          <w:rFonts w:ascii="Times New Roman" w:hAnsi="Times New Roman" w:cs="Times New Roman"/>
          <w:sz w:val="28"/>
          <w:szCs w:val="28"/>
        </w:rPr>
        <w:t>зеленовато-желтый</w:t>
      </w:r>
    </w:p>
    <w:p w14:paraId="02C8E7E1" w14:textId="77777777" w:rsidR="00AE6F58" w:rsidRPr="00AE6F58" w:rsidRDefault="00AE6F58" w:rsidP="00AE6F5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E6F58">
        <w:rPr>
          <w:rFonts w:ascii="Times New Roman" w:hAnsi="Times New Roman" w:cs="Times New Roman"/>
          <w:sz w:val="28"/>
          <w:szCs w:val="28"/>
        </w:rPr>
        <w:t xml:space="preserve">Основной цвет </w:t>
      </w:r>
      <w:r w:rsidRPr="00AE6F58">
        <w:rPr>
          <w:rFonts w:ascii="Times New Roman" w:hAnsi="Times New Roman" w:cs="Times New Roman"/>
          <w:b/>
          <w:bCs/>
          <w:sz w:val="28"/>
          <w:szCs w:val="28"/>
        </w:rPr>
        <w:t>красный</w:t>
      </w:r>
    </w:p>
    <w:p w14:paraId="70745B9B" w14:textId="77777777" w:rsidR="00AE6F58" w:rsidRPr="00AE6F58" w:rsidRDefault="00AE6F58" w:rsidP="00AE6F58">
      <w:pPr>
        <w:rPr>
          <w:rFonts w:ascii="Times New Roman" w:hAnsi="Times New Roman" w:cs="Times New Roman"/>
          <w:sz w:val="28"/>
          <w:szCs w:val="28"/>
        </w:rPr>
      </w:pPr>
      <w:r w:rsidRPr="00AE6F58">
        <w:rPr>
          <w:rFonts w:ascii="Times New Roman" w:hAnsi="Times New Roman" w:cs="Times New Roman"/>
          <w:sz w:val="28"/>
          <w:szCs w:val="28"/>
        </w:rPr>
        <w:lastRenderedPageBreak/>
        <w:t>малиново-красный</w:t>
      </w:r>
    </w:p>
    <w:p w14:paraId="624F18B5" w14:textId="6EA9B843" w:rsidR="00775DF1" w:rsidRDefault="00AE6F58" w:rsidP="00AE6F58">
      <w:pPr>
        <w:rPr>
          <w:rFonts w:ascii="Times New Roman" w:hAnsi="Times New Roman" w:cs="Times New Roman"/>
          <w:sz w:val="28"/>
          <w:szCs w:val="28"/>
        </w:rPr>
      </w:pPr>
      <w:r w:rsidRPr="00AE6F58">
        <w:rPr>
          <w:rFonts w:ascii="Times New Roman" w:hAnsi="Times New Roman" w:cs="Times New Roman"/>
          <w:sz w:val="28"/>
          <w:szCs w:val="28"/>
        </w:rPr>
        <w:t>ржаво-красный</w:t>
      </w:r>
    </w:p>
    <w:p w14:paraId="000EC972" w14:textId="5252CB7E" w:rsidR="00AE6F58" w:rsidRPr="00AE6F58" w:rsidRDefault="00AE6F58" w:rsidP="00AE6F58">
      <w:pPr>
        <w:rPr>
          <w:rFonts w:ascii="Times New Roman" w:hAnsi="Times New Roman" w:cs="Times New Roman"/>
          <w:sz w:val="28"/>
          <w:szCs w:val="28"/>
        </w:rPr>
      </w:pPr>
      <w:r w:rsidRPr="00AE6F58">
        <w:rPr>
          <w:rFonts w:ascii="Times New Roman" w:hAnsi="Times New Roman" w:cs="Times New Roman"/>
          <w:sz w:val="28"/>
          <w:szCs w:val="28"/>
        </w:rPr>
        <w:t xml:space="preserve">Отдельности (агрегаты), на которые способна распадаться почва, различающиеся формой и размером, называются </w:t>
      </w:r>
      <w:r w:rsidRPr="00AE6F58">
        <w:rPr>
          <w:rFonts w:ascii="Times New Roman" w:hAnsi="Times New Roman" w:cs="Times New Roman"/>
          <w:b/>
          <w:bCs/>
          <w:sz w:val="28"/>
          <w:szCs w:val="28"/>
        </w:rPr>
        <w:t xml:space="preserve">структурой. </w:t>
      </w:r>
      <w:r w:rsidRPr="00AE6F58">
        <w:rPr>
          <w:rFonts w:ascii="Times New Roman" w:hAnsi="Times New Roman" w:cs="Times New Roman"/>
          <w:sz w:val="28"/>
          <w:szCs w:val="28"/>
        </w:rPr>
        <w:t>Форма, размер и качественный состав структурных отдельностей в разных типах почв, а также в одной почве, но в разных ее горизонтах неодинаковы и зависят от свойства самой почвы</w:t>
      </w:r>
    </w:p>
    <w:p w14:paraId="3D963C24" w14:textId="77777777" w:rsidR="00AE6F58" w:rsidRDefault="00AE6F58" w:rsidP="00AE6F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Принято различать три </w:t>
      </w:r>
      <w:r>
        <w:rPr>
          <w:b/>
          <w:bCs/>
          <w:sz w:val="28"/>
          <w:szCs w:val="28"/>
        </w:rPr>
        <w:t xml:space="preserve">типа </w:t>
      </w:r>
      <w:r>
        <w:rPr>
          <w:sz w:val="28"/>
          <w:szCs w:val="28"/>
        </w:rPr>
        <w:t xml:space="preserve">структуры: </w:t>
      </w:r>
    </w:p>
    <w:p w14:paraId="478E1628" w14:textId="77777777" w:rsidR="00AE6F58" w:rsidRDefault="00AE6F58" w:rsidP="00AE6F58">
      <w:pPr>
        <w:pStyle w:val="Default"/>
        <w:spacing w:after="19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 xml:space="preserve">кубовидная </w:t>
      </w:r>
      <w:r>
        <w:rPr>
          <w:sz w:val="28"/>
          <w:szCs w:val="28"/>
        </w:rPr>
        <w:t xml:space="preserve">– структурные отдельности равномерно развиты по трем взаимно перпендикулярным осям; </w:t>
      </w:r>
    </w:p>
    <w:p w14:paraId="30F4D7A5" w14:textId="77777777" w:rsidR="00AE6F58" w:rsidRDefault="00AE6F58" w:rsidP="00AE6F58">
      <w:pPr>
        <w:pStyle w:val="Default"/>
        <w:spacing w:after="197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 xml:space="preserve">призмовидная </w:t>
      </w:r>
      <w:r>
        <w:rPr>
          <w:sz w:val="28"/>
          <w:szCs w:val="28"/>
        </w:rPr>
        <w:t xml:space="preserve">– структурные отдельности более развиты по вертикальной оси; </w:t>
      </w:r>
    </w:p>
    <w:p w14:paraId="3C01A9FC" w14:textId="77777777" w:rsidR="00AE6F58" w:rsidRDefault="00AE6F58" w:rsidP="00AE6F58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>
        <w:rPr>
          <w:b/>
          <w:bCs/>
          <w:sz w:val="28"/>
          <w:szCs w:val="28"/>
        </w:rPr>
        <w:t xml:space="preserve">плитовидная </w:t>
      </w:r>
      <w:r>
        <w:rPr>
          <w:sz w:val="28"/>
          <w:szCs w:val="28"/>
        </w:rPr>
        <w:t xml:space="preserve">– отдельности более развиты по двум горизонтальным осям и резко укорочены по вертикальной оси. </w:t>
      </w:r>
    </w:p>
    <w:p w14:paraId="54708AF3" w14:textId="2C01FBFB" w:rsidR="00406DA2" w:rsidRDefault="00AE6F58" w:rsidP="00915D15">
      <w:pPr>
        <w:rPr>
          <w:rFonts w:ascii="Times New Roman" w:hAnsi="Times New Roman" w:cs="Times New Roman"/>
          <w:b/>
          <w:sz w:val="28"/>
          <w:szCs w:val="28"/>
        </w:rPr>
      </w:pPr>
      <w:r w:rsidRPr="00AE6F58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 wp14:anchorId="6E85D887" wp14:editId="375388CF">
            <wp:extent cx="5940425" cy="909193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C8E0B" w14:textId="1053A94A" w:rsidR="00C25D95" w:rsidRDefault="00C25D95" w:rsidP="00915D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2AFEE4" wp14:editId="7F739623">
            <wp:extent cx="6153150" cy="6324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3700" w14:textId="2736EC96" w:rsidR="00C25D95" w:rsidRPr="008920B7" w:rsidRDefault="00C25D95" w:rsidP="00915D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1EF031" wp14:editId="3598ED0C">
            <wp:extent cx="6264275" cy="60293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64275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5D95" w:rsidRPr="008920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8B7"/>
    <w:rsid w:val="00406DA2"/>
    <w:rsid w:val="006448B7"/>
    <w:rsid w:val="00647B6C"/>
    <w:rsid w:val="00775DF1"/>
    <w:rsid w:val="008920B7"/>
    <w:rsid w:val="00915D15"/>
    <w:rsid w:val="009D2BF3"/>
    <w:rsid w:val="00AE6F58"/>
    <w:rsid w:val="00C25D95"/>
    <w:rsid w:val="00E44D40"/>
    <w:rsid w:val="00FF5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B29A52"/>
  <w15:chartTrackingRefBased/>
  <w15:docId w15:val="{9241D6AE-661D-417A-8B71-30A97BA88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F52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53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6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1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02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4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2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7</Pages>
  <Words>1031</Words>
  <Characters>5881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3</cp:revision>
  <dcterms:created xsi:type="dcterms:W3CDTF">2024-11-15T13:40:00Z</dcterms:created>
  <dcterms:modified xsi:type="dcterms:W3CDTF">2024-11-15T15:43:00Z</dcterms:modified>
</cp:coreProperties>
</file>