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CDE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 xml:space="preserve">По результатам измерения каждому </w:t>
      </w:r>
      <w:r>
        <w:rPr>
          <w:rFonts w:ascii="Times New Roman" w:hAnsi="Times New Roman" w:cs="Times New Roman"/>
          <w:sz w:val="28"/>
          <w:szCs w:val="28"/>
        </w:rPr>
        <w:t>образцу</w:t>
      </w:r>
      <w:r w:rsidRPr="001B2CEE">
        <w:rPr>
          <w:rFonts w:ascii="Times New Roman" w:hAnsi="Times New Roman" w:cs="Times New Roman"/>
          <w:sz w:val="28"/>
          <w:szCs w:val="28"/>
        </w:rPr>
        <w:t xml:space="preserve"> следует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EE">
        <w:rPr>
          <w:rFonts w:ascii="Times New Roman" w:hAnsi="Times New Roman" w:cs="Times New Roman"/>
          <w:sz w:val="28"/>
          <w:szCs w:val="28"/>
        </w:rPr>
        <w:t>название по уровню кислотности (щелочности), используя следующие</w:t>
      </w:r>
    </w:p>
    <w:p w14:paraId="2D3C0A03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диапазоны рН:</w:t>
      </w:r>
    </w:p>
    <w:p w14:paraId="7358D2C1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 xml:space="preserve">4-5 – </w:t>
      </w:r>
      <w:proofErr w:type="spellStart"/>
      <w:r w:rsidRPr="001B2CEE">
        <w:rPr>
          <w:rFonts w:ascii="Times New Roman" w:hAnsi="Times New Roman" w:cs="Times New Roman"/>
          <w:sz w:val="28"/>
          <w:szCs w:val="28"/>
        </w:rPr>
        <w:t>резкокислая</w:t>
      </w:r>
      <w:proofErr w:type="spellEnd"/>
      <w:r w:rsidRPr="001B2CEE">
        <w:rPr>
          <w:rFonts w:ascii="Times New Roman" w:hAnsi="Times New Roman" w:cs="Times New Roman"/>
          <w:sz w:val="28"/>
          <w:szCs w:val="28"/>
        </w:rPr>
        <w:t>,</w:t>
      </w:r>
    </w:p>
    <w:p w14:paraId="319A22C3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5-5,5 – сильнокислая,</w:t>
      </w:r>
    </w:p>
    <w:p w14:paraId="01345501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6-6,5 – слабокислая,</w:t>
      </w:r>
    </w:p>
    <w:p w14:paraId="4FADC9C0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6,5-7,5– нейтральная,</w:t>
      </w:r>
    </w:p>
    <w:p w14:paraId="5921A20B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7,5-8,5 – слабощелочная,</w:t>
      </w:r>
    </w:p>
    <w:p w14:paraId="7A525663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8,5-10 – сильнощелочная,</w:t>
      </w:r>
    </w:p>
    <w:p w14:paraId="527D1BC9" w14:textId="10D30CEE" w:rsidR="009631F9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>10-12 – резкощелочная.</w:t>
      </w:r>
    </w:p>
    <w:p w14:paraId="1556FD65" w14:textId="742E9345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  <w:r w:rsidRPr="001B2CEE">
        <w:rPr>
          <w:rFonts w:ascii="Times New Roman" w:hAnsi="Times New Roman" w:cs="Times New Roman"/>
          <w:sz w:val="28"/>
          <w:szCs w:val="28"/>
        </w:rPr>
        <w:t xml:space="preserve">Если бумажка окрасилась в красный цвет, значит кислотность почвы высока и находится на уровне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1B2CEE">
        <w:rPr>
          <w:rFonts w:ascii="Times New Roman" w:hAnsi="Times New Roman" w:cs="Times New Roman"/>
          <w:sz w:val="28"/>
          <w:szCs w:val="28"/>
        </w:rPr>
        <w:t xml:space="preserve"> рН 5.0. Если лакмусовая бумажка приобрела оранжевый оттенок, значит кислотность средняя и находится на уровне рН 5.1–рН 5.5. Лакмусовая бумажка желтого цвета показывает слабокислый состав, кислотность которого составляет от рН 5.6 до рН 6.0. Зеленоватая бумажка будет свидетельствовать о нейтральности почвы. Ярко зеленый цвет лакмусовой бумажки означает, что почва имеет щелочной состав с кислотностью рН 7.1– рН8.5.</w:t>
      </w:r>
    </w:p>
    <w:p w14:paraId="4543C0F7" w14:textId="77777777" w:rsidR="001B2CEE" w:rsidRPr="001B2CEE" w:rsidRDefault="001B2CEE" w:rsidP="001B2CEE">
      <w:pPr>
        <w:rPr>
          <w:rFonts w:ascii="Times New Roman" w:hAnsi="Times New Roman" w:cs="Times New Roman"/>
          <w:sz w:val="28"/>
          <w:szCs w:val="28"/>
        </w:rPr>
      </w:pPr>
    </w:p>
    <w:sectPr w:rsidR="001B2CEE" w:rsidRPr="001B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B9"/>
    <w:rsid w:val="001B2CEE"/>
    <w:rsid w:val="009631F9"/>
    <w:rsid w:val="009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7FDF"/>
  <w15:chartTrackingRefBased/>
  <w15:docId w15:val="{465BFB52-9AB0-400F-A5FE-96D381A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2024-11-21T20:52:00Z</dcterms:created>
  <dcterms:modified xsi:type="dcterms:W3CDTF">2024-11-21T20:55:00Z</dcterms:modified>
</cp:coreProperties>
</file>