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37D4E" w14:textId="77777777" w:rsidR="00C4375B" w:rsidRPr="00F62D04" w:rsidRDefault="00C4375B" w:rsidP="00F62D0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D04">
        <w:rPr>
          <w:rFonts w:ascii="Times New Roman" w:hAnsi="Times New Roman" w:cs="Times New Roman"/>
          <w:b/>
          <w:bCs/>
          <w:sz w:val="28"/>
          <w:szCs w:val="28"/>
        </w:rPr>
        <w:t>МЕТОДЫ ПОСТРОЕНИЯ ПЛАНОВЫХ СЕТЕЙ СГУЩЕНИЯ</w:t>
      </w:r>
    </w:p>
    <w:p w14:paraId="7FF52CA5" w14:textId="74BF08C8" w:rsidR="00C76D24" w:rsidRPr="00F62D04" w:rsidRDefault="00C76D24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плотность пунктов плановой государственной геодезической сети для создания съемочного геодезического обоснования топографических съемок должна быть доведена на территориях, подлежащим съемкам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масштабе 1</w:t>
      </w:r>
      <w:proofErr w:type="gramStart"/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5 000, до одного пункта триангуляции или полигонометрии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20–30 км</w:t>
      </w:r>
      <w:r w:rsidRPr="00F62D0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Дальнейшее увеличение плотности геодезической основы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крупномасштабных съемок достигается развитием геодезических сетей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гущения и съемочного обоснования.</w:t>
      </w:r>
    </w:p>
    <w:p w14:paraId="7B94E6AA" w14:textId="5025E4D1" w:rsidR="00C76D24" w:rsidRPr="00F62D04" w:rsidRDefault="00C76D24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Плотность геодезической основы для съемок в масштабе 1</w:t>
      </w:r>
      <w:proofErr w:type="gramStart"/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 вне населенных пунктов должна быть доведена не менее чем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пункта на 7–10 км2.</w:t>
      </w:r>
    </w:p>
    <w:p w14:paraId="6500D77B" w14:textId="49083E19" w:rsidR="00C76D24" w:rsidRPr="00F62D04" w:rsidRDefault="00C76D24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планового положения пунктов геодезических сетей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сгущения могут быть применены методы триангуляции, полигонометрии,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методы с использованием спутниковой геодезической аппаратуры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(приемники GPS и др.) и их сочетание.</w:t>
      </w:r>
    </w:p>
    <w:p w14:paraId="42D6BFC0" w14:textId="4216EC14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закладки пунктов следует выбирать с таким расчетом, чтобы обеспечить:</w:t>
      </w:r>
    </w:p>
    <w:p w14:paraId="4265564D" w14:textId="7CC100D9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гарантированную долговременную видимость между соседними пунктами (отсутствие молодой поросли леса или кустарника, участков, подлежащих застройке и т.д.);</w:t>
      </w:r>
    </w:p>
    <w:p w14:paraId="44AC97FF" w14:textId="77777777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длительную сохранность пунктов;</w:t>
      </w:r>
    </w:p>
    <w:p w14:paraId="10FDF983" w14:textId="298022D1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возможность использования пунктов в качестве точек съемочной сети;</w:t>
      </w:r>
    </w:p>
    <w:p w14:paraId="7A59DA19" w14:textId="77777777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удобный подъезд (подход) к пунктам;</w:t>
      </w:r>
    </w:p>
    <w:p w14:paraId="6410E42C" w14:textId="77777777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опознавание пунктов на местности.</w:t>
      </w:r>
    </w:p>
    <w:p w14:paraId="110326B2" w14:textId="56F429C6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следует стремиться к тому, чтобы полигонометрические ходы были, по возможности, вытянутыми (не имели крутых изломов), а стороны – как можно более длинными.</w:t>
      </w:r>
    </w:p>
    <w:p w14:paraId="602048CA" w14:textId="5B2D0F1A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проекта полигонометрии целесообразно начинать с расчета необходимого числа пунктов. В со</w:t>
      </w:r>
      <w:r w:rsid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требованиями СП</w:t>
      </w: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пунктов всех классов и разрядов плановой сети должна быть доведена:</w:t>
      </w:r>
    </w:p>
    <w:p w14:paraId="01861F4C" w14:textId="77777777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застроенной территории – до четырех пунктов на 1 км²;</w:t>
      </w:r>
    </w:p>
    <w:p w14:paraId="13B1508D" w14:textId="6AA93EF2" w:rsidR="00103475" w:rsidRPr="00F62D04" w:rsidRDefault="00103475" w:rsidP="00F62D0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D0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незастроенной территории – до одного пункта на 1 км².</w:t>
      </w:r>
    </w:p>
    <w:p w14:paraId="7F0A072C" w14:textId="77777777" w:rsidR="00F62D04" w:rsidRDefault="00F62D04" w:rsidP="00F62D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95E67" w14:textId="39ACF019" w:rsidR="000837A4" w:rsidRPr="00F62D04" w:rsidRDefault="00D94E1F" w:rsidP="00F62D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D04">
        <w:rPr>
          <w:rFonts w:ascii="Times New Roman" w:hAnsi="Times New Roman" w:cs="Times New Roman"/>
          <w:b/>
          <w:bCs/>
          <w:sz w:val="28"/>
          <w:szCs w:val="28"/>
        </w:rPr>
        <w:t>Проектирование полигонометрического хода на карте</w:t>
      </w:r>
      <w:r w:rsidR="00F62D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b/>
          <w:bCs/>
          <w:sz w:val="28"/>
          <w:szCs w:val="28"/>
        </w:rPr>
        <w:t>масштаба 1</w:t>
      </w:r>
      <w:proofErr w:type="gramStart"/>
      <w:r w:rsidRPr="00F62D04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F62D04">
        <w:rPr>
          <w:rFonts w:ascii="Times New Roman" w:hAnsi="Times New Roman" w:cs="Times New Roman"/>
          <w:b/>
          <w:bCs/>
          <w:sz w:val="28"/>
          <w:szCs w:val="28"/>
        </w:rPr>
        <w:t xml:space="preserve"> 25 000</w:t>
      </w:r>
    </w:p>
    <w:p w14:paraId="7A184151" w14:textId="77AB0E92" w:rsidR="00D94E1F" w:rsidRPr="00F62D04" w:rsidRDefault="00D94E1F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 xml:space="preserve">Для проведения топографических </w:t>
      </w:r>
      <w:r w:rsidR="00FA311F" w:rsidRPr="00F62D04">
        <w:rPr>
          <w:rFonts w:ascii="Times New Roman" w:hAnsi="Times New Roman" w:cs="Times New Roman"/>
          <w:sz w:val="28"/>
          <w:szCs w:val="28"/>
        </w:rPr>
        <w:t>съемок на небольших участках ме</w:t>
      </w:r>
      <w:r w:rsidRPr="00F62D04">
        <w:rPr>
          <w:rFonts w:ascii="Times New Roman" w:hAnsi="Times New Roman" w:cs="Times New Roman"/>
          <w:sz w:val="28"/>
          <w:szCs w:val="28"/>
        </w:rPr>
        <w:t>стности, как правило, проектируют отдельные ходы полигонометрии.</w:t>
      </w:r>
    </w:p>
    <w:p w14:paraId="34317A80" w14:textId="0AEB7DA5" w:rsidR="00D94E1F" w:rsidRPr="00F62D04" w:rsidRDefault="00D94E1F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Каждый ход должен опираться, как минимум, на два исходных пункта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триангуляции (пункты указывает препо</w:t>
      </w:r>
      <w:r w:rsidR="00F62D04">
        <w:rPr>
          <w:rFonts w:ascii="Times New Roman" w:hAnsi="Times New Roman" w:cs="Times New Roman"/>
          <w:sz w:val="28"/>
          <w:szCs w:val="28"/>
        </w:rPr>
        <w:t>даватель на карте). При проекти</w:t>
      </w:r>
      <w:r w:rsidRPr="00F62D04">
        <w:rPr>
          <w:rFonts w:ascii="Times New Roman" w:hAnsi="Times New Roman" w:cs="Times New Roman"/>
          <w:sz w:val="28"/>
          <w:szCs w:val="28"/>
        </w:rPr>
        <w:t xml:space="preserve">ровании стараются размещать ходы в </w:t>
      </w:r>
      <w:r w:rsidR="00F62D04">
        <w:rPr>
          <w:rFonts w:ascii="Times New Roman" w:hAnsi="Times New Roman" w:cs="Times New Roman"/>
          <w:sz w:val="28"/>
          <w:szCs w:val="28"/>
        </w:rPr>
        <w:t>местах удобных для угловых и ли</w:t>
      </w:r>
      <w:r w:rsidRPr="00F62D04">
        <w:rPr>
          <w:rFonts w:ascii="Times New Roman" w:hAnsi="Times New Roman" w:cs="Times New Roman"/>
          <w:sz w:val="28"/>
          <w:szCs w:val="28"/>
        </w:rPr>
        <w:t>нейных измерений (вдоль дорог, в пойм</w:t>
      </w:r>
      <w:r w:rsidR="00F62D04">
        <w:rPr>
          <w:rFonts w:ascii="Times New Roman" w:hAnsi="Times New Roman" w:cs="Times New Roman"/>
          <w:sz w:val="28"/>
          <w:szCs w:val="28"/>
        </w:rPr>
        <w:t>ах рек). При выборе мест для за</w:t>
      </w:r>
      <w:r w:rsidRPr="00F62D04">
        <w:rPr>
          <w:rFonts w:ascii="Times New Roman" w:hAnsi="Times New Roman" w:cs="Times New Roman"/>
          <w:sz w:val="28"/>
          <w:szCs w:val="28"/>
        </w:rPr>
        <w:t>крепления пунктов полигонометрии след</w:t>
      </w:r>
      <w:r w:rsidR="00F62D04">
        <w:rPr>
          <w:rFonts w:ascii="Times New Roman" w:hAnsi="Times New Roman" w:cs="Times New Roman"/>
          <w:sz w:val="28"/>
          <w:szCs w:val="28"/>
        </w:rPr>
        <w:t>ят за тем, чтобы между двумя со</w:t>
      </w:r>
      <w:r w:rsidRPr="00F62D04">
        <w:rPr>
          <w:rFonts w:ascii="Times New Roman" w:hAnsi="Times New Roman" w:cs="Times New Roman"/>
          <w:sz w:val="28"/>
          <w:szCs w:val="28"/>
        </w:rPr>
        <w:t>седними пунктами по возможности была видимость. Желательно, чтобы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 xml:space="preserve">форма хода имела вытянутую форму, </w:t>
      </w:r>
      <w:r w:rsidR="00F62D04">
        <w:rPr>
          <w:rFonts w:ascii="Times New Roman" w:hAnsi="Times New Roman" w:cs="Times New Roman"/>
          <w:sz w:val="28"/>
          <w:szCs w:val="28"/>
        </w:rPr>
        <w:t xml:space="preserve">близкую к </w:t>
      </w:r>
      <w:proofErr w:type="gramStart"/>
      <w:r w:rsidR="00F62D04">
        <w:rPr>
          <w:rFonts w:ascii="Times New Roman" w:hAnsi="Times New Roman" w:cs="Times New Roman"/>
          <w:sz w:val="28"/>
          <w:szCs w:val="28"/>
        </w:rPr>
        <w:t>прямолинейной</w:t>
      </w:r>
      <w:proofErr w:type="gramEnd"/>
      <w:r w:rsidR="00F62D04">
        <w:rPr>
          <w:rFonts w:ascii="Times New Roman" w:hAnsi="Times New Roman" w:cs="Times New Roman"/>
          <w:sz w:val="28"/>
          <w:szCs w:val="28"/>
        </w:rPr>
        <w:t>. Изогну</w:t>
      </w:r>
      <w:r w:rsidRPr="00F62D04">
        <w:rPr>
          <w:rFonts w:ascii="Times New Roman" w:hAnsi="Times New Roman" w:cs="Times New Roman"/>
          <w:sz w:val="28"/>
          <w:szCs w:val="28"/>
        </w:rPr>
        <w:t>тые ходы не должны иметь резких изломов.</w:t>
      </w:r>
    </w:p>
    <w:p w14:paraId="22178AFA" w14:textId="0B149F96" w:rsidR="00D94E1F" w:rsidRPr="00F62D04" w:rsidRDefault="00D94E1F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Длины ходов и число сторон в ходе должны соот</w:t>
      </w:r>
      <w:r w:rsidR="00F62D04">
        <w:rPr>
          <w:rFonts w:ascii="Times New Roman" w:hAnsi="Times New Roman" w:cs="Times New Roman"/>
          <w:sz w:val="28"/>
          <w:szCs w:val="28"/>
        </w:rPr>
        <w:t>ветствовать требова</w:t>
      </w:r>
      <w:r w:rsidRPr="00F62D04">
        <w:rPr>
          <w:rFonts w:ascii="Times New Roman" w:hAnsi="Times New Roman" w:cs="Times New Roman"/>
          <w:sz w:val="28"/>
          <w:szCs w:val="28"/>
        </w:rPr>
        <w:t>ниям, изложенным в табл. 1.2. После на</w:t>
      </w:r>
      <w:r w:rsidR="00F62D04">
        <w:rPr>
          <w:rFonts w:ascii="Times New Roman" w:hAnsi="Times New Roman" w:cs="Times New Roman"/>
          <w:sz w:val="28"/>
          <w:szCs w:val="28"/>
        </w:rPr>
        <w:t>несения хода на карте выполняет</w:t>
      </w:r>
      <w:r w:rsidRPr="00F62D04">
        <w:rPr>
          <w:rFonts w:ascii="Times New Roman" w:hAnsi="Times New Roman" w:cs="Times New Roman"/>
          <w:sz w:val="28"/>
          <w:szCs w:val="28"/>
        </w:rPr>
        <w:t>ся оценка точности проекта, то есть расчет точности</w:t>
      </w:r>
    </w:p>
    <w:p w14:paraId="0BCDBB8F" w14:textId="295934B0" w:rsidR="00D94E1F" w:rsidRPr="00F62D04" w:rsidRDefault="00D94E1F" w:rsidP="00F62D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D04">
        <w:rPr>
          <w:rFonts w:ascii="Times New Roman" w:hAnsi="Times New Roman" w:cs="Times New Roman"/>
          <w:b/>
          <w:bCs/>
          <w:sz w:val="28"/>
          <w:szCs w:val="28"/>
        </w:rPr>
        <w:t>Оценка точности проекта полигонометрического хода</w:t>
      </w:r>
    </w:p>
    <w:p w14:paraId="5E470C8B" w14:textId="2CB83A91" w:rsidR="00D94E1F" w:rsidRPr="00F62D04" w:rsidRDefault="00D94E1F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 xml:space="preserve">О точности хода можно судить по величине средней </w:t>
      </w:r>
      <w:proofErr w:type="spellStart"/>
      <w:r w:rsidRPr="00F62D04">
        <w:rPr>
          <w:rFonts w:ascii="Times New Roman" w:hAnsi="Times New Roman" w:cs="Times New Roman"/>
          <w:sz w:val="28"/>
          <w:szCs w:val="28"/>
        </w:rPr>
        <w:t>квадратической</w:t>
      </w:r>
      <w:proofErr w:type="spellEnd"/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ошибки положения пункта в слабом мес</w:t>
      </w:r>
      <w:r w:rsidR="00F62D04">
        <w:rPr>
          <w:rFonts w:ascii="Times New Roman" w:hAnsi="Times New Roman" w:cs="Times New Roman"/>
          <w:sz w:val="28"/>
          <w:szCs w:val="28"/>
        </w:rPr>
        <w:t>те хода после уравнивания, кото</w:t>
      </w:r>
      <w:r w:rsidRPr="00F62D04">
        <w:rPr>
          <w:rFonts w:ascii="Times New Roman" w:hAnsi="Times New Roman" w:cs="Times New Roman"/>
          <w:sz w:val="28"/>
          <w:szCs w:val="28"/>
        </w:rPr>
        <w:t xml:space="preserve">рая </w:t>
      </w:r>
      <w:proofErr w:type="gramStart"/>
      <w:r w:rsidRPr="00F62D04">
        <w:rPr>
          <w:rFonts w:ascii="Times New Roman" w:hAnsi="Times New Roman" w:cs="Times New Roman"/>
          <w:sz w:val="28"/>
          <w:szCs w:val="28"/>
        </w:rPr>
        <w:t xml:space="preserve">обозначается символом </w:t>
      </w:r>
      <w:r w:rsidRPr="00F62D0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F62D04">
        <w:rPr>
          <w:rFonts w:ascii="Times New Roman" w:hAnsi="Times New Roman" w:cs="Times New Roman"/>
          <w:sz w:val="28"/>
          <w:szCs w:val="28"/>
        </w:rPr>
        <w:t>. Эта о</w:t>
      </w:r>
      <w:r w:rsidR="00F62D04">
        <w:rPr>
          <w:rFonts w:ascii="Times New Roman" w:hAnsi="Times New Roman" w:cs="Times New Roman"/>
          <w:sz w:val="28"/>
          <w:szCs w:val="28"/>
        </w:rPr>
        <w:t>шибка вычисляется</w:t>
      </w:r>
      <w:proofErr w:type="gramEnd"/>
      <w:r w:rsidR="00F62D04">
        <w:rPr>
          <w:rFonts w:ascii="Times New Roman" w:hAnsi="Times New Roman" w:cs="Times New Roman"/>
          <w:sz w:val="28"/>
          <w:szCs w:val="28"/>
        </w:rPr>
        <w:t xml:space="preserve"> по разным фор</w:t>
      </w:r>
      <w:r w:rsidRPr="00F62D04">
        <w:rPr>
          <w:rFonts w:ascii="Times New Roman" w:hAnsi="Times New Roman" w:cs="Times New Roman"/>
          <w:sz w:val="28"/>
          <w:szCs w:val="28"/>
        </w:rPr>
        <w:t>мулам в зависимости от формы хода.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Так как форма запроектированного хода может быть вытянутой или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изогнутой, то для того чтобы правильно выбрать формулу для оценки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точности, необходимо воспользоваться</w:t>
      </w:r>
      <w:r w:rsidR="00F62D04">
        <w:rPr>
          <w:rFonts w:ascii="Times New Roman" w:hAnsi="Times New Roman" w:cs="Times New Roman"/>
          <w:sz w:val="28"/>
          <w:szCs w:val="28"/>
        </w:rPr>
        <w:t xml:space="preserve"> критерием вытянутости хода. По</w:t>
      </w:r>
      <w:r w:rsidRPr="00F62D04">
        <w:rPr>
          <w:rFonts w:ascii="Times New Roman" w:hAnsi="Times New Roman" w:cs="Times New Roman"/>
          <w:sz w:val="28"/>
          <w:szCs w:val="28"/>
        </w:rPr>
        <w:t>лигонометрический ход считается в</w:t>
      </w:r>
      <w:r w:rsidR="00F62D04">
        <w:rPr>
          <w:rFonts w:ascii="Times New Roman" w:hAnsi="Times New Roman" w:cs="Times New Roman"/>
          <w:sz w:val="28"/>
          <w:szCs w:val="28"/>
        </w:rPr>
        <w:t>ытянутым, если выполняется соот</w:t>
      </w:r>
      <w:r w:rsidRPr="00F62D04">
        <w:rPr>
          <w:rFonts w:ascii="Times New Roman" w:hAnsi="Times New Roman" w:cs="Times New Roman"/>
          <w:sz w:val="28"/>
          <w:szCs w:val="28"/>
        </w:rPr>
        <w:t>ношение</w:t>
      </w:r>
    </w:p>
    <w:p w14:paraId="58111CC0" w14:textId="7B8BDFBA" w:rsidR="001C610E" w:rsidRPr="00F62D04" w:rsidRDefault="001C610E" w:rsidP="00F62D0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1ADC42" wp14:editId="1980C17F">
            <wp:extent cx="1266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2E46C" w14:textId="47012F9A" w:rsidR="001C610E" w:rsidRPr="00F62D04" w:rsidRDefault="001C610E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lastRenderedPageBreak/>
        <w:t>где S – длина хода, т. е. сумма длин сторон;</w:t>
      </w:r>
    </w:p>
    <w:p w14:paraId="1328C0AC" w14:textId="77777777" w:rsidR="001C610E" w:rsidRPr="00F62D04" w:rsidRDefault="001C610E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D04">
        <w:rPr>
          <w:rFonts w:ascii="Times New Roman" w:hAnsi="Times New Roman" w:cs="Times New Roman"/>
          <w:sz w:val="28"/>
          <w:szCs w:val="28"/>
        </w:rPr>
        <w:t>L – длина замыкающей (прямая, соединяющая начальный и конечный</w:t>
      </w:r>
      <w:proofErr w:type="gramEnd"/>
    </w:p>
    <w:p w14:paraId="1D742F8C" w14:textId="77777777" w:rsidR="001C610E" w:rsidRPr="00F62D04" w:rsidRDefault="001C610E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пункты хода).</w:t>
      </w:r>
    </w:p>
    <w:p w14:paraId="207AF850" w14:textId="52B0C95B" w:rsidR="00D94E1F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9859376"/>
      <w:r w:rsidRPr="00F62D04">
        <w:rPr>
          <w:rFonts w:ascii="Times New Roman" w:hAnsi="Times New Roman" w:cs="Times New Roman"/>
          <w:sz w:val="28"/>
          <w:szCs w:val="28"/>
        </w:rPr>
        <w:t>Для изогнутого хода оценку точности выполняют по формуле</w:t>
      </w:r>
    </w:p>
    <w:bookmarkEnd w:id="0"/>
    <w:p w14:paraId="6329783B" w14:textId="27E10B53" w:rsidR="00F40836" w:rsidRPr="00F62D04" w:rsidRDefault="00F40836" w:rsidP="00F62D0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7307D7" wp14:editId="330086C5">
            <wp:extent cx="2305050" cy="752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0FB4D" w14:textId="77777777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где M – СКО положения пункта в слабом месте хода;</w:t>
      </w:r>
    </w:p>
    <w:p w14:paraId="4475A83E" w14:textId="77777777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n – число сторон в запроектированном ходе (определяется по схеме</w:t>
      </w:r>
    </w:p>
    <w:p w14:paraId="70C4223F" w14:textId="77777777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хода на карте);</w:t>
      </w:r>
    </w:p>
    <w:p w14:paraId="2F62AEEB" w14:textId="77777777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D04">
        <w:rPr>
          <w:rFonts w:ascii="Times New Roman" w:hAnsi="Times New Roman" w:cs="Times New Roman"/>
          <w:sz w:val="28"/>
          <w:szCs w:val="28"/>
        </w:rPr>
        <w:t>ms</w:t>
      </w:r>
      <w:proofErr w:type="spellEnd"/>
      <w:r w:rsidRPr="00F62D04">
        <w:rPr>
          <w:rFonts w:ascii="Times New Roman" w:hAnsi="Times New Roman" w:cs="Times New Roman"/>
          <w:sz w:val="28"/>
          <w:szCs w:val="28"/>
        </w:rPr>
        <w:t xml:space="preserve"> – СКО измерения линий, </w:t>
      </w:r>
      <w:proofErr w:type="gramStart"/>
      <w:r w:rsidRPr="00F62D04">
        <w:rPr>
          <w:rFonts w:ascii="Times New Roman" w:hAnsi="Times New Roman" w:cs="Times New Roman"/>
          <w:sz w:val="28"/>
          <w:szCs w:val="28"/>
        </w:rPr>
        <w:t>определяемая</w:t>
      </w:r>
      <w:proofErr w:type="gramEnd"/>
      <w:r w:rsidRPr="00F62D04">
        <w:rPr>
          <w:rFonts w:ascii="Times New Roman" w:hAnsi="Times New Roman" w:cs="Times New Roman"/>
          <w:sz w:val="28"/>
          <w:szCs w:val="28"/>
        </w:rPr>
        <w:t xml:space="preserve"> по паспорту прибора, кото-</w:t>
      </w:r>
    </w:p>
    <w:p w14:paraId="77DD33BA" w14:textId="77777777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 xml:space="preserve">рым предполагается измерять линии, в </w:t>
      </w:r>
      <w:proofErr w:type="gramStart"/>
      <w:r w:rsidRPr="00F62D0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F62D04">
        <w:rPr>
          <w:rFonts w:ascii="Times New Roman" w:hAnsi="Times New Roman" w:cs="Times New Roman"/>
          <w:sz w:val="28"/>
          <w:szCs w:val="28"/>
        </w:rPr>
        <w:t>;</w:t>
      </w:r>
    </w:p>
    <w:p w14:paraId="7C1655E9" w14:textId="2F1CFD10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 xml:space="preserve">mβ – СКО измерения углов, </w:t>
      </w:r>
      <w:proofErr w:type="gramStart"/>
      <w:r w:rsidRPr="00F62D04">
        <w:rPr>
          <w:rFonts w:ascii="Times New Roman" w:hAnsi="Times New Roman" w:cs="Times New Roman"/>
          <w:sz w:val="28"/>
          <w:szCs w:val="28"/>
        </w:rPr>
        <w:t>выбираемая</w:t>
      </w:r>
      <w:proofErr w:type="gramEnd"/>
      <w:r w:rsidRPr="00F62D04">
        <w:rPr>
          <w:rFonts w:ascii="Times New Roman" w:hAnsi="Times New Roman" w:cs="Times New Roman"/>
          <w:sz w:val="28"/>
          <w:szCs w:val="28"/>
        </w:rPr>
        <w:t xml:space="preserve"> из табл., в зависимости от</w:t>
      </w:r>
    </w:p>
    <w:p w14:paraId="7FEAC8D9" w14:textId="77777777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класса или разряда предполагаемых работ, в секундах;</w:t>
      </w:r>
    </w:p>
    <w:p w14:paraId="7F7C3F19" w14:textId="6CF314B8" w:rsidR="00F40836" w:rsidRPr="00F62D04" w:rsidRDefault="00F40836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 xml:space="preserve">ρ" = 206 265 ", но в данном случае его значение может быть приравнено числу 2 · 10 </w:t>
      </w:r>
      <w:r w:rsidRPr="00F62D04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F62D04">
        <w:rPr>
          <w:rFonts w:ascii="Times New Roman" w:hAnsi="Times New Roman" w:cs="Times New Roman"/>
          <w:sz w:val="28"/>
          <w:szCs w:val="28"/>
        </w:rPr>
        <w:t>";</w:t>
      </w:r>
    </w:p>
    <w:p w14:paraId="3E0DE2DF" w14:textId="27F4CD55" w:rsidR="0089507C" w:rsidRPr="00F62D04" w:rsidRDefault="0089507C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D0, i – расстояние от центра тяжести хода до каждого пункта хода,</w:t>
      </w:r>
    </w:p>
    <w:p w14:paraId="35C56170" w14:textId="03A93921" w:rsidR="0089507C" w:rsidRPr="00F62D04" w:rsidRDefault="0089507C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включая исходные.</w:t>
      </w:r>
    </w:p>
    <w:p w14:paraId="6AC72205" w14:textId="7E4B05AE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Эти расстояния измеряют по схеме, а потом с учетом масштаба карты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переводят в сантиметры на местности.</w:t>
      </w:r>
    </w:p>
    <w:p w14:paraId="0E015CB7" w14:textId="0DE34F39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Координаты центра тяжести хода определяют по координатам всех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точек хода, включая начальный и конечный исходные пункты хода, которые графически определяют по карте с помощью линейки с миллиметровыми делениями. При этом используют формулы:</w:t>
      </w:r>
    </w:p>
    <w:p w14:paraId="5C29B9A7" w14:textId="30221834" w:rsidR="003737CA" w:rsidRPr="00F62D04" w:rsidRDefault="003737CA" w:rsidP="00F62D0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0497C7" wp14:editId="2F3F72C1">
            <wp:extent cx="2352675" cy="742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73E50" w14:textId="225A66DD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При выполнении данного вида работ рациональнее центр тяжести определять по схеме графически.</w:t>
      </w:r>
    </w:p>
    <w:p w14:paraId="0128E430" w14:textId="35F7D45B" w:rsidR="003737CA" w:rsidRPr="00F62D04" w:rsidRDefault="003737CA" w:rsidP="00F62D0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1DFC56" wp14:editId="5D663B25">
            <wp:extent cx="2847975" cy="1962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65B3E" w14:textId="77777777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Последовательность действий при графическом определении центра</w:t>
      </w:r>
    </w:p>
    <w:p w14:paraId="0817407B" w14:textId="77777777" w:rsidR="003737CA" w:rsidRPr="00F62D04" w:rsidRDefault="003737CA" w:rsidP="00F62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тяжести хода следующая:</w:t>
      </w:r>
    </w:p>
    <w:p w14:paraId="5682AC80" w14:textId="4443F8CE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- первую сторону хода делят пополам и полученную точку от деления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соединяют со следующим пунктом хода вспомогательной линией;</w:t>
      </w:r>
    </w:p>
    <w:p w14:paraId="71A14258" w14:textId="6DD3547B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 xml:space="preserve">- проведенную линию делят на три </w:t>
      </w:r>
      <w:r w:rsidR="00F62D04">
        <w:rPr>
          <w:rFonts w:ascii="Times New Roman" w:hAnsi="Times New Roman" w:cs="Times New Roman"/>
          <w:sz w:val="28"/>
          <w:szCs w:val="28"/>
        </w:rPr>
        <w:t>части и первую точку деления со</w:t>
      </w:r>
      <w:r w:rsidRPr="00F62D04">
        <w:rPr>
          <w:rFonts w:ascii="Times New Roman" w:hAnsi="Times New Roman" w:cs="Times New Roman"/>
          <w:sz w:val="28"/>
          <w:szCs w:val="28"/>
        </w:rPr>
        <w:t>единяют со следующим пунктом хода;</w:t>
      </w:r>
    </w:p>
    <w:p w14:paraId="55BDDD64" w14:textId="08C2841D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- п</w:t>
      </w:r>
      <w:bookmarkStart w:id="1" w:name="_GoBack"/>
      <w:bookmarkEnd w:id="1"/>
      <w:r w:rsidRPr="00F62D04">
        <w:rPr>
          <w:rFonts w:ascii="Times New Roman" w:hAnsi="Times New Roman" w:cs="Times New Roman"/>
          <w:sz w:val="28"/>
          <w:szCs w:val="28"/>
        </w:rPr>
        <w:t>роведенную линию делят на четыре части и первую точку деления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соединяют со следующим пунктом;</w:t>
      </w:r>
    </w:p>
    <w:p w14:paraId="1262B335" w14:textId="70D25DA5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- описанные выше действия повторяют, причем каждый раз делят линию на одну часть больше до тех пор, пока не дойдут до конечного пункта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хода.</w:t>
      </w:r>
    </w:p>
    <w:p w14:paraId="7F9A7FB2" w14:textId="58ACCECF" w:rsidR="003737CA" w:rsidRPr="00F62D04" w:rsidRDefault="003737CA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Центром тяжести будет являться первая точка, полученная от деления</w:t>
      </w:r>
      <w:r w:rsidR="00F62D04">
        <w:rPr>
          <w:rFonts w:ascii="Times New Roman" w:hAnsi="Times New Roman" w:cs="Times New Roman"/>
          <w:sz w:val="28"/>
          <w:szCs w:val="28"/>
        </w:rPr>
        <w:t xml:space="preserve"> </w:t>
      </w:r>
      <w:r w:rsidRPr="00F62D04">
        <w:rPr>
          <w:rFonts w:ascii="Times New Roman" w:hAnsi="Times New Roman" w:cs="Times New Roman"/>
          <w:sz w:val="28"/>
          <w:szCs w:val="28"/>
        </w:rPr>
        <w:t>линии, проведенной к конечному пункту полигонометрического хода.</w:t>
      </w:r>
    </w:p>
    <w:p w14:paraId="1FF27BDD" w14:textId="2725AD64" w:rsidR="005B678B" w:rsidRPr="00F62D04" w:rsidRDefault="005B678B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042FE4" wp14:editId="79AE13FE">
            <wp:extent cx="5543550" cy="1828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ACEB" w14:textId="3C67F546" w:rsidR="005B678B" w:rsidRPr="00F62D04" w:rsidRDefault="005B678B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48D07D" wp14:editId="67D83164">
            <wp:extent cx="5940425" cy="309435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94203" w14:textId="7BF4C11B" w:rsidR="005B678B" w:rsidRPr="00F62D04" w:rsidRDefault="005B678B" w:rsidP="00F62D0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sz w:val="28"/>
          <w:szCs w:val="28"/>
        </w:rPr>
        <w:t>то можно рекомендовать для измерения</w:t>
      </w:r>
      <w:r w:rsidR="00F62D04">
        <w:rPr>
          <w:rFonts w:ascii="Times New Roman" w:hAnsi="Times New Roman" w:cs="Times New Roman"/>
          <w:sz w:val="28"/>
          <w:szCs w:val="28"/>
        </w:rPr>
        <w:t xml:space="preserve"> углов и линий более точные при</w:t>
      </w:r>
      <w:r w:rsidRPr="00F62D04">
        <w:rPr>
          <w:rFonts w:ascii="Times New Roman" w:hAnsi="Times New Roman" w:cs="Times New Roman"/>
          <w:sz w:val="28"/>
          <w:szCs w:val="28"/>
        </w:rPr>
        <w:t>боры.</w:t>
      </w:r>
    </w:p>
    <w:p w14:paraId="712F99C1" w14:textId="79C9E808" w:rsidR="005B678B" w:rsidRPr="00F62D04" w:rsidRDefault="00F62D04" w:rsidP="00F62D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D7768A" wp14:editId="51EB5AE2">
            <wp:extent cx="5940425" cy="297878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E1691" w14:textId="05475D21" w:rsidR="005B678B" w:rsidRPr="00F62D04" w:rsidRDefault="005B678B" w:rsidP="00F62D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63012" w14:textId="6848586D" w:rsidR="005B678B" w:rsidRPr="00F62D04" w:rsidRDefault="0099070C" w:rsidP="00F62D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D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752BC8" wp14:editId="23485C8A">
            <wp:extent cx="5940425" cy="539369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78B" w:rsidRPr="00F6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F1"/>
    <w:rsid w:val="000641F1"/>
    <w:rsid w:val="000837A4"/>
    <w:rsid w:val="00103475"/>
    <w:rsid w:val="001C610E"/>
    <w:rsid w:val="003737CA"/>
    <w:rsid w:val="003F6E1B"/>
    <w:rsid w:val="005B678B"/>
    <w:rsid w:val="0089507C"/>
    <w:rsid w:val="0099070C"/>
    <w:rsid w:val="00B6146B"/>
    <w:rsid w:val="00C4375B"/>
    <w:rsid w:val="00C76D24"/>
    <w:rsid w:val="00D94E1F"/>
    <w:rsid w:val="00F40836"/>
    <w:rsid w:val="00F62D04"/>
    <w:rsid w:val="00FA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7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8</cp:revision>
  <dcterms:created xsi:type="dcterms:W3CDTF">2025-02-07T15:51:00Z</dcterms:created>
  <dcterms:modified xsi:type="dcterms:W3CDTF">2025-03-11T12:06:00Z</dcterms:modified>
</cp:coreProperties>
</file>