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64" w:rsidRDefault="006A0356" w:rsidP="006A03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356">
        <w:rPr>
          <w:rFonts w:ascii="Times New Roman" w:hAnsi="Times New Roman" w:cs="Times New Roman"/>
          <w:b/>
          <w:sz w:val="32"/>
          <w:szCs w:val="32"/>
        </w:rPr>
        <w:t>Лабораторная работа № 2</w:t>
      </w: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6A0356">
        <w:rPr>
          <w:rFonts w:ascii="Times New Roman" w:hAnsi="Times New Roman" w:cs="Times New Roman"/>
          <w:b/>
          <w:sz w:val="32"/>
          <w:szCs w:val="32"/>
        </w:rPr>
        <w:t xml:space="preserve"> МЕТОДЫ ПОСТРОЕНИЯ ВЫСОТНОЙ ОСНОВЫ ТОПОГРАФИЧЕСКИХ СЪЕМОК</w:t>
      </w:r>
    </w:p>
    <w:p w:rsidR="006A0356" w:rsidRPr="006A0356" w:rsidRDefault="006A0356" w:rsidP="006A03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A0356">
        <w:rPr>
          <w:rFonts w:ascii="Times New Roman" w:hAnsi="Times New Roman" w:cs="Times New Roman"/>
          <w:b/>
          <w:sz w:val="32"/>
          <w:szCs w:val="32"/>
        </w:rPr>
        <w:t>Цель работы</w:t>
      </w:r>
      <w:r w:rsidRPr="006A0356">
        <w:rPr>
          <w:rFonts w:ascii="Times New Roman" w:hAnsi="Times New Roman" w:cs="Times New Roman"/>
          <w:sz w:val="32"/>
          <w:szCs w:val="32"/>
        </w:rPr>
        <w:t xml:space="preserve"> – практическое освоение методов проектирования и оценки точности  высотных  сетей  </w:t>
      </w:r>
    </w:p>
    <w:p w:rsidR="006A0356" w:rsidRDefault="006A0356" w:rsidP="006A03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0356">
        <w:rPr>
          <w:rFonts w:ascii="Times New Roman" w:hAnsi="Times New Roman" w:cs="Times New Roman"/>
          <w:b/>
          <w:sz w:val="32"/>
          <w:szCs w:val="32"/>
        </w:rPr>
        <w:t>Проектирование нивелирного хода по пунктам  полигонометрического хода</w:t>
      </w:r>
    </w:p>
    <w:p w:rsidR="006A0356" w:rsidRDefault="006A0356" w:rsidP="006A03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A0356">
        <w:rPr>
          <w:rFonts w:ascii="Times New Roman" w:hAnsi="Times New Roman" w:cs="Times New Roman"/>
          <w:sz w:val="32"/>
          <w:szCs w:val="32"/>
        </w:rPr>
        <w:t>На топографической  карте масштаба 1</w:t>
      </w:r>
      <w:proofErr w:type="gramStart"/>
      <w:r w:rsidRPr="006A035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6A0356">
        <w:rPr>
          <w:rFonts w:ascii="Times New Roman" w:hAnsi="Times New Roman" w:cs="Times New Roman"/>
          <w:sz w:val="32"/>
          <w:szCs w:val="32"/>
        </w:rPr>
        <w:t xml:space="preserve"> 25 000 </w:t>
      </w:r>
      <w:r>
        <w:rPr>
          <w:rFonts w:ascii="Times New Roman" w:hAnsi="Times New Roman" w:cs="Times New Roman"/>
          <w:sz w:val="32"/>
          <w:szCs w:val="32"/>
        </w:rPr>
        <w:t xml:space="preserve">проектируем </w:t>
      </w:r>
      <w:r w:rsidRPr="006A0356">
        <w:rPr>
          <w:rFonts w:ascii="Times New Roman" w:hAnsi="Times New Roman" w:cs="Times New Roman"/>
          <w:sz w:val="32"/>
          <w:szCs w:val="32"/>
        </w:rPr>
        <w:t xml:space="preserve">нивелирный ход IV класса, или ход технического нивелирования по пунктам полигонометрического хода, запроектированного в предыдущей работе. </w:t>
      </w:r>
    </w:p>
    <w:p w:rsidR="006A0356" w:rsidRDefault="006A0356" w:rsidP="006A03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A0356">
        <w:rPr>
          <w:rFonts w:ascii="Times New Roman" w:hAnsi="Times New Roman" w:cs="Times New Roman"/>
          <w:sz w:val="32"/>
          <w:szCs w:val="32"/>
        </w:rPr>
        <w:t xml:space="preserve"> Основными требованиями к проектированию являются: </w:t>
      </w:r>
    </w:p>
    <w:p w:rsidR="006A0356" w:rsidRDefault="006A0356" w:rsidP="006A03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A0356">
        <w:rPr>
          <w:rFonts w:ascii="Times New Roman" w:hAnsi="Times New Roman" w:cs="Times New Roman"/>
          <w:sz w:val="32"/>
          <w:szCs w:val="32"/>
        </w:rPr>
        <w:t xml:space="preserve">- нивелирный ход должен опираться обоими концами на реперы старшего класса; </w:t>
      </w:r>
    </w:p>
    <w:p w:rsidR="006A0356" w:rsidRPr="006A0356" w:rsidRDefault="006A0356" w:rsidP="006A03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A0356">
        <w:rPr>
          <w:rFonts w:ascii="Times New Roman" w:hAnsi="Times New Roman" w:cs="Times New Roman"/>
          <w:sz w:val="32"/>
          <w:szCs w:val="32"/>
        </w:rPr>
        <w:t>- отметки должны быть переданы на в</w:t>
      </w:r>
      <w:r>
        <w:rPr>
          <w:rFonts w:ascii="Times New Roman" w:hAnsi="Times New Roman" w:cs="Times New Roman"/>
          <w:sz w:val="32"/>
          <w:szCs w:val="32"/>
        </w:rPr>
        <w:t xml:space="preserve">се пункты </w:t>
      </w:r>
      <w:r w:rsidRPr="006A0356">
        <w:rPr>
          <w:rFonts w:ascii="Times New Roman" w:hAnsi="Times New Roman" w:cs="Times New Roman"/>
          <w:sz w:val="32"/>
          <w:szCs w:val="32"/>
        </w:rPr>
        <w:t>запроектированного полигонометрического хода.</w:t>
      </w:r>
    </w:p>
    <w:p w:rsidR="006A0356" w:rsidRDefault="006A0356" w:rsidP="006A03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0356">
        <w:rPr>
          <w:rFonts w:ascii="Times New Roman" w:hAnsi="Times New Roman" w:cs="Times New Roman"/>
          <w:b/>
          <w:sz w:val="32"/>
          <w:szCs w:val="32"/>
        </w:rPr>
        <w:t>Расчет  точности запроектированного нивелирного хода</w:t>
      </w:r>
    </w:p>
    <w:p w:rsidR="00DB7FB9" w:rsidRDefault="00DB7FB9" w:rsidP="006A0356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Исходные данные для расчета точности нивелирного хода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FB9" w:rsidTr="00DB7FB9">
        <w:tc>
          <w:tcPr>
            <w:tcW w:w="4785" w:type="dxa"/>
          </w:tcPr>
          <w:p w:rsidR="00DB7FB9" w:rsidRDefault="00DB7FB9" w:rsidP="00DB7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исходных данных,</w:t>
            </w:r>
          </w:p>
          <w:p w:rsidR="00DB7FB9" w:rsidRDefault="00DB7FB9" w:rsidP="00DB7F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их размерность</w:t>
            </w:r>
          </w:p>
        </w:tc>
        <w:tc>
          <w:tcPr>
            <w:tcW w:w="4786" w:type="dxa"/>
          </w:tcPr>
          <w:p w:rsidR="00DB7FB9" w:rsidRDefault="000226F5" w:rsidP="006A03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исходных величин</w:t>
            </w:r>
          </w:p>
        </w:tc>
      </w:tr>
      <w:tr w:rsidR="00DB7FB9" w:rsidTr="00DB7FB9">
        <w:tc>
          <w:tcPr>
            <w:tcW w:w="4785" w:type="dxa"/>
          </w:tcPr>
          <w:p w:rsidR="00DB7FB9" w:rsidRDefault="000226F5" w:rsidP="006A03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Длина нивелирного хода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местности,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86" w:type="dxa"/>
          </w:tcPr>
          <w:p w:rsidR="00DB7FB9" w:rsidRDefault="00DB7FB9" w:rsidP="006A03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7FB9" w:rsidTr="00DB7FB9">
        <w:tc>
          <w:tcPr>
            <w:tcW w:w="4785" w:type="dxa"/>
          </w:tcPr>
          <w:p w:rsidR="00DB7FB9" w:rsidRDefault="000226F5" w:rsidP="006A03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 на один километр хода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мм</w:t>
            </w:r>
          </w:p>
        </w:tc>
        <w:tc>
          <w:tcPr>
            <w:tcW w:w="4786" w:type="dxa"/>
          </w:tcPr>
          <w:p w:rsidR="00DB7FB9" w:rsidRDefault="00DB7FB9" w:rsidP="006A03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7FB9" w:rsidTr="00DB7FB9">
        <w:tc>
          <w:tcPr>
            <w:tcW w:w="4785" w:type="dxa"/>
          </w:tcPr>
          <w:p w:rsidR="00DB7FB9" w:rsidRPr="000226F5" w:rsidRDefault="000226F5" w:rsidP="00022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Предельная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 положения точки по высоте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пред </w:t>
            </w:r>
            <w:r>
              <w:rPr>
                <w:rFonts w:ascii="Symbol" w:hAnsi="Symbol" w:cs="Symbol"/>
                <w:sz w:val="29"/>
                <w:szCs w:val="29"/>
              </w:rPr>
              <w:t></w:t>
            </w:r>
            <w:r>
              <w:rPr>
                <w:rFonts w:ascii="Symbol" w:hAnsi="Symbol" w:cs="Symbol"/>
                <w:sz w:val="29"/>
                <w:szCs w:val="29"/>
              </w:rPr>
              <w:t>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мм</w:t>
            </w:r>
          </w:p>
        </w:tc>
        <w:tc>
          <w:tcPr>
            <w:tcW w:w="4786" w:type="dxa"/>
          </w:tcPr>
          <w:p w:rsidR="00DB7FB9" w:rsidRDefault="00DB7FB9" w:rsidP="006A03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226F5" w:rsidRPr="000226F5" w:rsidRDefault="000226F5" w:rsidP="00022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26F5">
        <w:rPr>
          <w:rFonts w:ascii="Times New Roman" w:hAnsi="Times New Roman" w:cs="Times New Roman"/>
          <w:sz w:val="30"/>
          <w:szCs w:val="30"/>
        </w:rPr>
        <w:t xml:space="preserve"> </w:t>
      </w:r>
      <w:r w:rsidRPr="000226F5">
        <w:rPr>
          <w:rFonts w:ascii="Times New Roman" w:hAnsi="Times New Roman" w:cs="Times New Roman"/>
          <w:sz w:val="30"/>
          <w:szCs w:val="30"/>
        </w:rPr>
        <w:t>Д</w:t>
      </w:r>
      <w:r w:rsidRPr="000226F5">
        <w:rPr>
          <w:rFonts w:ascii="Times New Roman" w:hAnsi="Times New Roman" w:cs="Times New Roman"/>
          <w:sz w:val="30"/>
          <w:szCs w:val="30"/>
        </w:rPr>
        <w:t xml:space="preserve">лина хода определяется в сантиметрах по карте, а затем </w:t>
      </w:r>
      <w:proofErr w:type="gramStart"/>
      <w:r w:rsidRPr="000226F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DB7FB9" w:rsidRDefault="000226F5" w:rsidP="00022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масштабом карты переводится в длину хода на местности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километрах.</w:t>
      </w:r>
    </w:p>
    <w:p w:rsidR="000226F5" w:rsidRPr="000226F5" w:rsidRDefault="000226F5" w:rsidP="00022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26F5">
        <w:rPr>
          <w:rFonts w:ascii="Times New Roman" w:hAnsi="Times New Roman" w:cs="Times New Roman"/>
          <w:sz w:val="30"/>
          <w:szCs w:val="30"/>
        </w:rPr>
        <w:t>С</w:t>
      </w:r>
      <w:r w:rsidRPr="000226F5">
        <w:rPr>
          <w:rFonts w:ascii="Times New Roman" w:hAnsi="Times New Roman" w:cs="Times New Roman"/>
          <w:sz w:val="30"/>
          <w:szCs w:val="30"/>
        </w:rPr>
        <w:t xml:space="preserve">редняя </w:t>
      </w:r>
      <w:proofErr w:type="spellStart"/>
      <w:r w:rsidRPr="000226F5">
        <w:rPr>
          <w:rFonts w:ascii="Times New Roman" w:hAnsi="Times New Roman" w:cs="Times New Roman"/>
          <w:sz w:val="30"/>
          <w:szCs w:val="30"/>
        </w:rPr>
        <w:t>квадратическая</w:t>
      </w:r>
      <w:proofErr w:type="spellEnd"/>
      <w:r w:rsidRPr="000226F5">
        <w:rPr>
          <w:rFonts w:ascii="Times New Roman" w:hAnsi="Times New Roman" w:cs="Times New Roman"/>
          <w:sz w:val="30"/>
          <w:szCs w:val="30"/>
        </w:rPr>
        <w:t xml:space="preserve"> случайная погрешность на 1 км хода км m</w:t>
      </w:r>
    </w:p>
    <w:p w:rsidR="000226F5" w:rsidRDefault="000226F5" w:rsidP="000226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26F5">
        <w:rPr>
          <w:rFonts w:ascii="Times New Roman" w:hAnsi="Times New Roman" w:cs="Times New Roman"/>
          <w:sz w:val="30"/>
          <w:szCs w:val="30"/>
        </w:rPr>
        <w:t>выбирается из табл</w:t>
      </w:r>
      <w:r>
        <w:rPr>
          <w:rFonts w:ascii="Times New Roman" w:hAnsi="Times New Roman" w:cs="Times New Roman"/>
          <w:sz w:val="30"/>
          <w:szCs w:val="30"/>
        </w:rPr>
        <w:t xml:space="preserve">ицы </w:t>
      </w:r>
      <w:r w:rsidRPr="000226F5">
        <w:rPr>
          <w:rFonts w:ascii="Times New Roman" w:hAnsi="Times New Roman" w:cs="Times New Roman"/>
          <w:sz w:val="30"/>
          <w:szCs w:val="30"/>
        </w:rPr>
        <w:t>по классу нивелирного хода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226F5" w:rsidRPr="000226F5" w:rsidRDefault="000226F5" w:rsidP="00022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26F5">
        <w:rPr>
          <w:rFonts w:ascii="Times New Roman" w:hAnsi="Times New Roman" w:cs="Times New Roman"/>
          <w:sz w:val="30"/>
          <w:szCs w:val="30"/>
        </w:rPr>
        <w:t>П</w:t>
      </w:r>
      <w:r w:rsidRPr="000226F5">
        <w:rPr>
          <w:rFonts w:ascii="Times New Roman" w:hAnsi="Times New Roman" w:cs="Times New Roman"/>
          <w:sz w:val="30"/>
          <w:szCs w:val="30"/>
        </w:rPr>
        <w:t xml:space="preserve">редельная средняя </w:t>
      </w:r>
      <w:proofErr w:type="spellStart"/>
      <w:r w:rsidRPr="000226F5">
        <w:rPr>
          <w:rFonts w:ascii="Times New Roman" w:hAnsi="Times New Roman" w:cs="Times New Roman"/>
          <w:sz w:val="30"/>
          <w:szCs w:val="30"/>
        </w:rPr>
        <w:t>квадратическая</w:t>
      </w:r>
      <w:proofErr w:type="spellEnd"/>
      <w:r w:rsidRPr="000226F5">
        <w:rPr>
          <w:rFonts w:ascii="Times New Roman" w:hAnsi="Times New Roman" w:cs="Times New Roman"/>
          <w:sz w:val="30"/>
          <w:szCs w:val="30"/>
        </w:rPr>
        <w:t xml:space="preserve"> ошибка положения точки </w:t>
      </w:r>
      <w:proofErr w:type="gramStart"/>
      <w:r w:rsidRPr="000226F5"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0226F5" w:rsidRDefault="000226F5" w:rsidP="000226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226F5">
        <w:rPr>
          <w:rFonts w:ascii="Times New Roman" w:hAnsi="Times New Roman" w:cs="Times New Roman"/>
          <w:sz w:val="30"/>
          <w:szCs w:val="30"/>
        </w:rPr>
        <w:t>высоте вычисляется по формуле</w:t>
      </w:r>
    </w:p>
    <w:p w:rsidR="000226F5" w:rsidRDefault="000226F5" w:rsidP="000226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7049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F5" w:rsidRPr="000226F5" w:rsidRDefault="000226F5" w:rsidP="000226F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A0356" w:rsidRDefault="006A0356" w:rsidP="006A0356">
      <w:pPr>
        <w:rPr>
          <w:rFonts w:ascii="Times New Roman" w:hAnsi="Times New Roman" w:cs="Times New Roman"/>
          <w:sz w:val="32"/>
          <w:szCs w:val="32"/>
        </w:rPr>
      </w:pPr>
      <w:r w:rsidRPr="006A0356">
        <w:rPr>
          <w:rFonts w:ascii="Times New Roman" w:hAnsi="Times New Roman" w:cs="Times New Roman"/>
          <w:sz w:val="32"/>
          <w:szCs w:val="32"/>
        </w:rPr>
        <w:t>Для вычисления погрешностей отметок всех промежуточных реперов уравненного нивелирного хода используется формула:</w:t>
      </w:r>
    </w:p>
    <w:p w:rsidR="006A0356" w:rsidRDefault="00DB7FB9" w:rsidP="006A0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289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520"/>
        <w:gridCol w:w="4786"/>
      </w:tblGrid>
      <w:tr w:rsidR="000226F5" w:rsidTr="000226F5">
        <w:trPr>
          <w:trHeight w:val="225"/>
        </w:trPr>
        <w:tc>
          <w:tcPr>
            <w:tcW w:w="4785" w:type="dxa"/>
            <w:gridSpan w:val="2"/>
          </w:tcPr>
          <w:p w:rsidR="009F1D04" w:rsidRDefault="009F1D04" w:rsidP="009F1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</w:t>
            </w:r>
          </w:p>
          <w:p w:rsidR="000226F5" w:rsidRDefault="009F1D04" w:rsidP="009F1D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оцениваемого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пункта хода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</w:t>
            </w:r>
            <w:proofErr w:type="gramEnd"/>
            <w:r>
              <w:rPr>
                <w:rFonts w:ascii="Times New Roman,Italic" w:eastAsia="Times New Roman,Italic" w:hAnsi="Times New Roman" w:cs="Times New Roman,Italic" w:hint="eastAsia"/>
                <w:i/>
                <w:iCs/>
                <w:sz w:val="17"/>
                <w:szCs w:val="17"/>
              </w:rPr>
              <w:t>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км</w:t>
            </w:r>
          </w:p>
        </w:tc>
        <w:tc>
          <w:tcPr>
            <w:tcW w:w="4786" w:type="dxa"/>
            <w:vMerge w:val="restart"/>
          </w:tcPr>
          <w:p w:rsidR="009F1D04" w:rsidRDefault="009F1D04" w:rsidP="009F1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квадратические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погрешности</w:t>
            </w:r>
          </w:p>
          <w:p w:rsidR="000226F5" w:rsidRDefault="009F1D04" w:rsidP="009F1D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отметок промежуточных пунктов хода,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</w:tr>
      <w:tr w:rsidR="000226F5" w:rsidTr="000226F5">
        <w:trPr>
          <w:trHeight w:val="135"/>
        </w:trPr>
        <w:tc>
          <w:tcPr>
            <w:tcW w:w="2265" w:type="dxa"/>
          </w:tcPr>
          <w:p w:rsidR="000226F5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хода</w:t>
            </w:r>
          </w:p>
        </w:tc>
        <w:tc>
          <w:tcPr>
            <w:tcW w:w="2520" w:type="dxa"/>
          </w:tcPr>
          <w:p w:rsidR="000226F5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Длина хода,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786" w:type="dxa"/>
            <w:vMerge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0226F5"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0226F5"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0226F5"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0226F5"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0226F5"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0226F5"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26F5" w:rsidTr="009F1D04">
        <w:trPr>
          <w:trHeight w:val="180"/>
        </w:trPr>
        <w:tc>
          <w:tcPr>
            <w:tcW w:w="2265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0226F5" w:rsidRDefault="000226F5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255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210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225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128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225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195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158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9F1D04">
        <w:trPr>
          <w:trHeight w:val="158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0226F5">
        <w:trPr>
          <w:trHeight w:val="158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1D04" w:rsidTr="000226F5">
        <w:trPr>
          <w:trHeight w:val="158"/>
        </w:trPr>
        <w:tc>
          <w:tcPr>
            <w:tcW w:w="2265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F1D04" w:rsidRDefault="009F1D04" w:rsidP="006A03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226F5" w:rsidRDefault="000226F5" w:rsidP="006A0356">
      <w:pPr>
        <w:rPr>
          <w:rFonts w:ascii="Times New Roman" w:hAnsi="Times New Roman" w:cs="Times New Roman"/>
          <w:sz w:val="32"/>
          <w:szCs w:val="32"/>
        </w:rPr>
      </w:pPr>
    </w:p>
    <w:p w:rsidR="009F1D04" w:rsidRDefault="009F1D04" w:rsidP="009F1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ыполняется анализ вычисленных средних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квадратических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погрешностей отметок промежуточных пунктов хода. Для этого выбирается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максимальная погрешность оцениваемого репера, которая сравнивается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предельной</w:t>
      </w:r>
      <w:proofErr w:type="gramEnd"/>
    </w:p>
    <w:p w:rsidR="009F1D04" w:rsidRPr="009F1D04" w:rsidRDefault="009F1D04" w:rsidP="009F1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7FB9" w:rsidRDefault="009F1D04" w:rsidP="006A0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43075" cy="428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04" w:rsidRDefault="009F1D04" w:rsidP="006A035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F1D04" w:rsidRPr="006A0356" w:rsidRDefault="009F1D04" w:rsidP="006A03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</w:t>
      </w:r>
    </w:p>
    <w:sectPr w:rsidR="009F1D04" w:rsidRPr="006A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701BE"/>
    <w:multiLevelType w:val="hybridMultilevel"/>
    <w:tmpl w:val="5CDE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6"/>
    <w:rsid w:val="000226F5"/>
    <w:rsid w:val="002402F6"/>
    <w:rsid w:val="004B1F64"/>
    <w:rsid w:val="006A0356"/>
    <w:rsid w:val="009F1D04"/>
    <w:rsid w:val="00D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2025-02-17T07:03:00Z</dcterms:created>
  <dcterms:modified xsi:type="dcterms:W3CDTF">2025-02-17T07:46:00Z</dcterms:modified>
</cp:coreProperties>
</file>