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1CB2F" w14:textId="696692D3" w:rsidR="00992002" w:rsidRPr="00992002" w:rsidRDefault="00992002" w:rsidP="00992002">
      <w:pPr>
        <w:shd w:val="clear" w:color="auto" w:fill="C2D69B" w:themeFill="accent3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002">
        <w:rPr>
          <w:rFonts w:ascii="Times New Roman" w:hAnsi="Times New Roman" w:cs="Times New Roman"/>
          <w:b/>
          <w:sz w:val="24"/>
          <w:szCs w:val="24"/>
        </w:rPr>
        <w:t>2 СЕМЕСТР</w:t>
      </w:r>
    </w:p>
    <w:p w14:paraId="5B94146B" w14:textId="5BA24E13" w:rsidR="00EC7B8C" w:rsidRPr="0016693D" w:rsidRDefault="00EC7B8C" w:rsidP="001669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93D">
        <w:rPr>
          <w:rFonts w:ascii="Times New Roman" w:hAnsi="Times New Roman" w:cs="Times New Roman"/>
          <w:b/>
          <w:sz w:val="24"/>
          <w:szCs w:val="24"/>
        </w:rPr>
        <w:t>Тема №1</w:t>
      </w:r>
      <w:r w:rsidR="00045C40" w:rsidRPr="0016693D">
        <w:rPr>
          <w:rFonts w:ascii="Times New Roman" w:hAnsi="Times New Roman" w:cs="Times New Roman"/>
          <w:b/>
          <w:sz w:val="24"/>
          <w:szCs w:val="24"/>
        </w:rPr>
        <w:t>.</w:t>
      </w:r>
      <w:r w:rsidRPr="0016693D">
        <w:rPr>
          <w:rFonts w:ascii="Times New Roman" w:hAnsi="Times New Roman" w:cs="Times New Roman"/>
          <w:b/>
          <w:sz w:val="24"/>
          <w:szCs w:val="24"/>
        </w:rPr>
        <w:t xml:space="preserve"> Контроль использования и охраны земель</w:t>
      </w:r>
    </w:p>
    <w:p w14:paraId="79B94079" w14:textId="77777777" w:rsidR="006C0A79" w:rsidRPr="006C0A79" w:rsidRDefault="0016693D" w:rsidP="0016225C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9053507"/>
      <w:r w:rsidRPr="006C0A79">
        <w:rPr>
          <w:rFonts w:ascii="Times New Roman" w:hAnsi="Times New Roman" w:cs="Times New Roman"/>
          <w:sz w:val="24"/>
          <w:szCs w:val="24"/>
        </w:rPr>
        <w:t xml:space="preserve">Государственное управление и контроль использования  и охраны  земель. </w:t>
      </w:r>
    </w:p>
    <w:bookmarkEnd w:id="0"/>
    <w:p w14:paraId="5AE03309" w14:textId="64750E7A" w:rsidR="00EC7B8C" w:rsidRPr="006C0A79" w:rsidRDefault="0016693D" w:rsidP="0016225C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Юридическая ответственность  за земельные правонарушения</w:t>
      </w:r>
    </w:p>
    <w:p w14:paraId="6612C07A" w14:textId="08169BB1" w:rsidR="00EC7B8C" w:rsidRPr="006C0A79" w:rsidRDefault="00E32830" w:rsidP="00E32830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C0A79">
        <w:rPr>
          <w:rFonts w:ascii="Times New Roman" w:hAnsi="Times New Roman" w:cs="Times New Roman"/>
          <w:color w:val="FF0000"/>
          <w:sz w:val="20"/>
          <w:szCs w:val="20"/>
        </w:rPr>
        <w:t>"Земельный кодекс Российской Федерации" от 25.10.2001 N 136-ФЗ (ред. от 29.12.2025) (с изм. и доп., вступ. в силу с 01.01.2026) - Статья 71. Государственный земельный надзор</w:t>
      </w:r>
    </w:p>
    <w:p w14:paraId="665F779E" w14:textId="41DDF6B2" w:rsidR="00E32830" w:rsidRPr="006C0A79" w:rsidRDefault="00E32830" w:rsidP="00E32830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C0A79">
        <w:rPr>
          <w:rFonts w:ascii="Times New Roman" w:hAnsi="Times New Roman" w:cs="Times New Roman"/>
          <w:color w:val="FF0000"/>
          <w:sz w:val="20"/>
          <w:szCs w:val="20"/>
        </w:rPr>
        <w:t>Постановление Правительства РФ от 30.06.2021 N 1081 (ред. от 04.08.2025) "О федеральном государственном земельном контроле (надзоре)"</w:t>
      </w:r>
    </w:p>
    <w:p w14:paraId="7B4DE387" w14:textId="232AF3BE" w:rsidR="006C0A79" w:rsidRPr="006C0A79" w:rsidRDefault="006C0A79" w:rsidP="006C0A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1. Государственное управление и контроль использования  и охраны  земель.</w:t>
      </w:r>
    </w:p>
    <w:p w14:paraId="69F848C6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Государственное управление земельными ресурсами – это деятельность органов государственной власти, направленная на рациональное использование и охрану земель, а также на обеспечение прав и законных интересов землепользователей.</w:t>
      </w:r>
    </w:p>
    <w:p w14:paraId="750CCCDC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Статья 9 Земельного кодекса РФ (ЗК РФ) устанавливает компетенцию Российской Федерации в области земельных отношений, в неё входит установление:</w:t>
      </w:r>
    </w:p>
    <w:p w14:paraId="071C1A92" w14:textId="77777777" w:rsidR="006C0A79" w:rsidRPr="006C0A79" w:rsidRDefault="006C0A79" w:rsidP="0016225C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основ земельного законодательства;</w:t>
      </w:r>
    </w:p>
    <w:p w14:paraId="5C341640" w14:textId="77777777" w:rsidR="006C0A79" w:rsidRPr="006C0A79" w:rsidRDefault="006C0A79" w:rsidP="0016225C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требований к охране земель;</w:t>
      </w:r>
    </w:p>
    <w:p w14:paraId="55466C77" w14:textId="77777777" w:rsidR="006C0A79" w:rsidRPr="006C0A79" w:rsidRDefault="006C0A79" w:rsidP="0016225C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порядка управления и распоряжения землями, находящимися в федеральной собственности и другие полномочия.</w:t>
      </w:r>
    </w:p>
    <w:p w14:paraId="09BBFB8F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Субъекты РФ и органы местного самоуправления также осуществляют полномочия в области земельных отношений в пределах своей компетенции, установленной федеральным законодательством.</w:t>
      </w:r>
    </w:p>
    <w:p w14:paraId="37DD67F4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Ключевые полномочия органов государственной власти в области управления землей включают:</w:t>
      </w:r>
    </w:p>
    <w:p w14:paraId="43E9CF8F" w14:textId="77777777" w:rsidR="006C0A79" w:rsidRPr="006C0A79" w:rsidRDefault="006C0A79" w:rsidP="0016225C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Разработка и реализация государственной политики:</w:t>
      </w:r>
      <w:r w:rsidRPr="006C0A79">
        <w:rPr>
          <w:rFonts w:ascii="Times New Roman" w:hAnsi="Times New Roman" w:cs="Times New Roman"/>
          <w:sz w:val="24"/>
          <w:szCs w:val="24"/>
        </w:rPr>
        <w:t xml:space="preserve"> Определение стратегических направлений использования и охраны земель.</w:t>
      </w:r>
    </w:p>
    <w:p w14:paraId="7BCC8B92" w14:textId="77777777" w:rsidR="006C0A79" w:rsidRPr="006C0A79" w:rsidRDefault="006C0A79" w:rsidP="0016225C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Зонирование территорий:</w:t>
      </w:r>
      <w:r w:rsidRPr="006C0A79">
        <w:rPr>
          <w:rFonts w:ascii="Times New Roman" w:hAnsi="Times New Roman" w:cs="Times New Roman"/>
          <w:sz w:val="24"/>
          <w:szCs w:val="24"/>
        </w:rPr>
        <w:t xml:space="preserve"> Установление градостроительных регламентов и ограничений использования земельных участков.</w:t>
      </w:r>
    </w:p>
    <w:p w14:paraId="71134C15" w14:textId="77777777" w:rsidR="006C0A79" w:rsidRPr="006C0A79" w:rsidRDefault="006C0A79" w:rsidP="0016225C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Государственный земельный надзор:</w:t>
      </w:r>
      <w:r w:rsidRPr="006C0A79">
        <w:rPr>
          <w:rFonts w:ascii="Times New Roman" w:hAnsi="Times New Roman" w:cs="Times New Roman"/>
          <w:sz w:val="24"/>
          <w:szCs w:val="24"/>
        </w:rPr>
        <w:t xml:space="preserve"> Контроль за соблюдением земельного законодательства.</w:t>
      </w:r>
    </w:p>
    <w:p w14:paraId="0C5ABF23" w14:textId="77777777" w:rsidR="006C0A79" w:rsidRPr="006C0A79" w:rsidRDefault="006C0A79" w:rsidP="0016225C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Разрешение земельных споров:</w:t>
      </w:r>
      <w:r w:rsidRPr="006C0A79">
        <w:rPr>
          <w:rFonts w:ascii="Times New Roman" w:hAnsi="Times New Roman" w:cs="Times New Roman"/>
          <w:sz w:val="24"/>
          <w:szCs w:val="24"/>
        </w:rPr>
        <w:t xml:space="preserve"> Рассмотрение и разрешение споров, возникающих между участниками земельных отношений.</w:t>
      </w:r>
    </w:p>
    <w:p w14:paraId="10635EC9" w14:textId="77777777" w:rsidR="006C0A79" w:rsidRPr="006C0A79" w:rsidRDefault="006C0A79" w:rsidP="0016225C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Ведение государственного земельного кадастра:</w:t>
      </w:r>
      <w:r w:rsidRPr="006C0A79">
        <w:rPr>
          <w:rFonts w:ascii="Times New Roman" w:hAnsi="Times New Roman" w:cs="Times New Roman"/>
          <w:sz w:val="24"/>
          <w:szCs w:val="24"/>
        </w:rPr>
        <w:t xml:space="preserve"> Учет и систематизация информации о земельных участках.</w:t>
      </w:r>
    </w:p>
    <w:p w14:paraId="4F37F9EB" w14:textId="77777777" w:rsidR="006C0A79" w:rsidRPr="006C0A79" w:rsidRDefault="006C0A79" w:rsidP="0016225C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Управление землями, находящимися в государственной и муниципальной собственности:</w:t>
      </w:r>
      <w:r w:rsidRPr="006C0A79">
        <w:rPr>
          <w:rFonts w:ascii="Times New Roman" w:hAnsi="Times New Roman" w:cs="Times New Roman"/>
          <w:sz w:val="24"/>
          <w:szCs w:val="24"/>
        </w:rPr>
        <w:t xml:space="preserve"> Предоставление земельных участков в собственность, аренду, постоянное (бессрочное) пользование, безвозмездное пользование.</w:t>
      </w:r>
    </w:p>
    <w:p w14:paraId="317B8F5A" w14:textId="77777777" w:rsidR="006C0A79" w:rsidRPr="006C0A79" w:rsidRDefault="006C0A79" w:rsidP="0016225C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Охрана земель:</w:t>
      </w:r>
      <w:r w:rsidRPr="006C0A79">
        <w:rPr>
          <w:rFonts w:ascii="Times New Roman" w:hAnsi="Times New Roman" w:cs="Times New Roman"/>
          <w:sz w:val="24"/>
          <w:szCs w:val="24"/>
        </w:rPr>
        <w:t xml:space="preserve"> разработка и реализация мероприятий по сохранению и восстановлению плодородия почв, предотвращению эрозии, загрязнения и других негативных процессов.</w:t>
      </w:r>
    </w:p>
    <w:p w14:paraId="1FBF41EF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РФ от 30.06.2021 N 1081 (ред. от 04.08.2025) "О федеральном государственном земельном контроле (надзоре)", федеральный государственный земельный контроль (надзор) осуществляется Федеральной службой государственной регистрации, кадастра и картографии (Росреестр) и ее территориальными органами.</w:t>
      </w:r>
    </w:p>
    <w:p w14:paraId="07514379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Предметом контроля (надзора) является:</w:t>
      </w:r>
    </w:p>
    <w:p w14:paraId="53961DAC" w14:textId="77777777" w:rsidR="006C0A79" w:rsidRPr="006C0A79" w:rsidRDefault="006C0A79" w:rsidP="0016225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Соблюдение обязательных требований земельного законодательства.</w:t>
      </w:r>
    </w:p>
    <w:p w14:paraId="40FD2979" w14:textId="77777777" w:rsidR="006C0A79" w:rsidRPr="006C0A79" w:rsidRDefault="006C0A79" w:rsidP="0016225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Использование земельных участков в соответствии с их целевым назначением и разрешенным использованием.</w:t>
      </w:r>
    </w:p>
    <w:p w14:paraId="4B2CE691" w14:textId="77777777" w:rsidR="006C0A79" w:rsidRPr="006C0A79" w:rsidRDefault="006C0A79" w:rsidP="0016225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Исполнение предписаний об устранении нарушений земельного законодательства.</w:t>
      </w:r>
    </w:p>
    <w:p w14:paraId="149619D3" w14:textId="77777777" w:rsidR="006C0A79" w:rsidRPr="006C0A79" w:rsidRDefault="006C0A79" w:rsidP="0016225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lastRenderedPageBreak/>
        <w:t>Соблюдение иных требований, установленных земельным законодательством.</w:t>
      </w:r>
    </w:p>
    <w:p w14:paraId="5D6982A0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Мероприятия по контролю (надзору):</w:t>
      </w:r>
    </w:p>
    <w:p w14:paraId="33C51F33" w14:textId="77777777" w:rsidR="006C0A79" w:rsidRPr="006C0A79" w:rsidRDefault="006C0A79" w:rsidP="0016225C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Проведение плановых и внеплановых проверок.</w:t>
      </w:r>
    </w:p>
    <w:p w14:paraId="2C4AB0A9" w14:textId="77777777" w:rsidR="006C0A79" w:rsidRPr="006C0A79" w:rsidRDefault="006C0A79" w:rsidP="0016225C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Проведение административных обследований объектов земельных отношений.</w:t>
      </w:r>
    </w:p>
    <w:p w14:paraId="486801A9" w14:textId="77777777" w:rsidR="006C0A79" w:rsidRPr="006C0A79" w:rsidRDefault="006C0A79" w:rsidP="0016225C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Рассмотрение обращений граждан и организаций.</w:t>
      </w:r>
    </w:p>
    <w:p w14:paraId="5914880F" w14:textId="77777777" w:rsidR="006C0A79" w:rsidRPr="006C0A79" w:rsidRDefault="006C0A79" w:rsidP="0016225C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Осуществление мониторинга использования земель.</w:t>
      </w:r>
    </w:p>
    <w:p w14:paraId="41CD6327" w14:textId="77777777" w:rsidR="006C0A79" w:rsidRPr="006C0A79" w:rsidRDefault="006C0A79" w:rsidP="006C0A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2. Юридическая ответственность за земельные правонарушения</w:t>
      </w:r>
    </w:p>
    <w:p w14:paraId="62FEE7FB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За совершение земельных правонарушений законодательством предусмотрены следующие виды юридической ответственности:</w:t>
      </w:r>
    </w:p>
    <w:p w14:paraId="68166A6A" w14:textId="77777777" w:rsidR="006C0A79" w:rsidRPr="006C0A79" w:rsidRDefault="006C0A79" w:rsidP="0016225C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Административная ответственность (КоАП РФ).</w:t>
      </w:r>
    </w:p>
    <w:p w14:paraId="3EFD435E" w14:textId="77777777" w:rsidR="006C0A79" w:rsidRPr="006C0A79" w:rsidRDefault="006C0A79" w:rsidP="0016225C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Уголовная ответственность (УК РФ).</w:t>
      </w:r>
    </w:p>
    <w:p w14:paraId="150E4558" w14:textId="77777777" w:rsidR="006C0A79" w:rsidRPr="006C0A79" w:rsidRDefault="006C0A79" w:rsidP="0016225C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Гражданско-правовая ответственность (ГК РФ).</w:t>
      </w:r>
    </w:p>
    <w:p w14:paraId="5F86EC6D" w14:textId="77777777" w:rsidR="006C0A79" w:rsidRPr="006C0A79" w:rsidRDefault="006C0A79" w:rsidP="0016225C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Дисциплинарная ответственность (ТК РФ).</w:t>
      </w:r>
    </w:p>
    <w:p w14:paraId="7CE26214" w14:textId="77777777" w:rsidR="006C0A79" w:rsidRPr="006C0A79" w:rsidRDefault="006C0A79" w:rsidP="00294A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A43">
        <w:rPr>
          <w:rFonts w:ascii="Times New Roman" w:hAnsi="Times New Roman" w:cs="Times New Roman"/>
          <w:b/>
          <w:sz w:val="24"/>
          <w:szCs w:val="24"/>
        </w:rPr>
        <w:t>Административная ответственность</w:t>
      </w:r>
      <w:r w:rsidRPr="006C0A79">
        <w:rPr>
          <w:rFonts w:ascii="Times New Roman" w:hAnsi="Times New Roman" w:cs="Times New Roman"/>
          <w:sz w:val="24"/>
          <w:szCs w:val="24"/>
        </w:rPr>
        <w:t xml:space="preserve"> за земельные правонарушения предусмотрена Кодексом Российской Федерации об административных правонарушениях (КоАП РФ).</w:t>
      </w:r>
    </w:p>
    <w:p w14:paraId="13D98C22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Примеры административных правонарушений:</w:t>
      </w:r>
    </w:p>
    <w:p w14:paraId="1BE1B95D" w14:textId="77777777" w:rsidR="006C0A79" w:rsidRPr="006C0A79" w:rsidRDefault="006C0A79" w:rsidP="0016225C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Самовольное занятие земельного участка (ст. 7.1 КоАП РФ).</w:t>
      </w:r>
    </w:p>
    <w:p w14:paraId="3D90E36D" w14:textId="77777777" w:rsidR="006C0A79" w:rsidRPr="006C0A79" w:rsidRDefault="006C0A79" w:rsidP="0016225C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Использование земельного участка не по целевому назначению (ст. 8.8 КоАП РФ).</w:t>
      </w:r>
    </w:p>
    <w:p w14:paraId="7A71A0BD" w14:textId="77777777" w:rsidR="006C0A79" w:rsidRPr="006C0A79" w:rsidRDefault="006C0A79" w:rsidP="0016225C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Невыполнение обязанностей по приведению земель в состояние, пригодное для использования по целевому назначению (ст. 8.7 КоАП РФ).</w:t>
      </w:r>
    </w:p>
    <w:p w14:paraId="7430722F" w14:textId="77777777" w:rsidR="006C0A79" w:rsidRPr="006C0A79" w:rsidRDefault="006C0A79" w:rsidP="0016225C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Загрязнение земель отходами производства и потребления (ст. 8.6 КоАП РФ).</w:t>
      </w:r>
    </w:p>
    <w:p w14:paraId="01997B46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В качестве наказания за административные правонарушения могут быть применены штрафы, предупреждения, административное приостановление деятельности.</w:t>
      </w:r>
    </w:p>
    <w:p w14:paraId="3BE403BF" w14:textId="77777777" w:rsidR="006C0A79" w:rsidRPr="006C0A79" w:rsidRDefault="006C0A79" w:rsidP="00294A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4A43">
        <w:rPr>
          <w:rFonts w:ascii="Times New Roman" w:hAnsi="Times New Roman" w:cs="Times New Roman"/>
          <w:b/>
          <w:sz w:val="24"/>
          <w:szCs w:val="24"/>
        </w:rPr>
        <w:t>Уголовная ответственность</w:t>
      </w:r>
      <w:r w:rsidRPr="006C0A79">
        <w:rPr>
          <w:rFonts w:ascii="Times New Roman" w:hAnsi="Times New Roman" w:cs="Times New Roman"/>
          <w:sz w:val="24"/>
          <w:szCs w:val="24"/>
        </w:rPr>
        <w:t xml:space="preserve"> за земельные правонарушения предусмотрена Уголовным кодексом Российской Федерации (УК РФ) в случаях, когда деяние представляет собой общественно опасное посягательство на земельные отношения.</w:t>
      </w:r>
    </w:p>
    <w:p w14:paraId="357083A4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Примеры уголовных правонарушений:</w:t>
      </w:r>
    </w:p>
    <w:p w14:paraId="3876E878" w14:textId="77777777" w:rsidR="006C0A79" w:rsidRPr="006C0A79" w:rsidRDefault="006C0A79" w:rsidP="0016225C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Самовольная застройка земельного участка, использование его для строительства, если это повлекло существенное нарушение прав граждан или организаций (ст. 264 УК РФ).</w:t>
      </w:r>
    </w:p>
    <w:p w14:paraId="44C11EC8" w14:textId="77777777" w:rsidR="006C0A79" w:rsidRPr="006C0A79" w:rsidRDefault="006C0A79" w:rsidP="0016225C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Умышленное уничтожение или повреждение плодородного слоя почвы (ст. 254 УК РФ).</w:t>
      </w:r>
    </w:p>
    <w:p w14:paraId="3FC6BAAB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За совершение уголовных правонарушений могут быть применены различные виды наказаний, в том числе лишение свободы.</w:t>
      </w:r>
    </w:p>
    <w:p w14:paraId="3ECC2A6B" w14:textId="68E7F71D" w:rsidR="006C0A79" w:rsidRPr="006C0A79" w:rsidRDefault="006C0A79" w:rsidP="003658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Гражданско-правовая ответственность</w:t>
      </w:r>
      <w:r w:rsidR="0036580F">
        <w:rPr>
          <w:rFonts w:ascii="Times New Roman" w:hAnsi="Times New Roman" w:cs="Times New Roman"/>
          <w:sz w:val="24"/>
          <w:szCs w:val="24"/>
        </w:rPr>
        <w:t xml:space="preserve"> </w:t>
      </w:r>
      <w:r w:rsidRPr="006C0A79">
        <w:rPr>
          <w:rFonts w:ascii="Times New Roman" w:hAnsi="Times New Roman" w:cs="Times New Roman"/>
          <w:sz w:val="24"/>
          <w:szCs w:val="24"/>
        </w:rPr>
        <w:t>за земельные правонарушения предусмотрена Гражданским кодексом Российской Федерации (ГК РФ). Она выражается в возмещении вреда, причиненного земельным правонарушением.</w:t>
      </w:r>
    </w:p>
    <w:p w14:paraId="398423F6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Примеры случаев привлечения к гражданско-правовой ответственности:</w:t>
      </w:r>
    </w:p>
    <w:p w14:paraId="1D646D16" w14:textId="77777777" w:rsidR="006C0A79" w:rsidRPr="006C0A79" w:rsidRDefault="006C0A79" w:rsidP="0016225C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Причинение ущерба окружающей среде в результате загрязнения земель.</w:t>
      </w:r>
    </w:p>
    <w:p w14:paraId="30B99ADE" w14:textId="77777777" w:rsidR="006C0A79" w:rsidRPr="006C0A79" w:rsidRDefault="006C0A79" w:rsidP="0016225C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Незаконное занятие земельного участка.</w:t>
      </w:r>
    </w:p>
    <w:p w14:paraId="7F731797" w14:textId="5A0EAE06" w:rsidR="006C0A79" w:rsidRPr="006C0A79" w:rsidRDefault="006C0A79" w:rsidP="00294A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Дисциплинарная ответственность</w:t>
      </w:r>
      <w:r w:rsidR="00294A43">
        <w:rPr>
          <w:rFonts w:ascii="Times New Roman" w:hAnsi="Times New Roman" w:cs="Times New Roman"/>
          <w:sz w:val="24"/>
          <w:szCs w:val="24"/>
        </w:rPr>
        <w:t xml:space="preserve"> </w:t>
      </w:r>
      <w:r w:rsidRPr="006C0A79">
        <w:rPr>
          <w:rFonts w:ascii="Times New Roman" w:hAnsi="Times New Roman" w:cs="Times New Roman"/>
          <w:sz w:val="24"/>
          <w:szCs w:val="24"/>
        </w:rPr>
        <w:t xml:space="preserve">применяется к должностным лицам и работникам органов государственной власти и местного самоуправления за </w:t>
      </w:r>
      <w:r w:rsidRPr="004D4B4E">
        <w:rPr>
          <w:rFonts w:ascii="Times New Roman" w:hAnsi="Times New Roman" w:cs="Times New Roman"/>
          <w:i/>
          <w:sz w:val="24"/>
          <w:szCs w:val="24"/>
        </w:rPr>
        <w:t>неисполнение или ненадлежащее исполнение своих обязанностей в сфере управления и контроля за использованием и охраной земель</w:t>
      </w:r>
      <w:r w:rsidRPr="006C0A79">
        <w:rPr>
          <w:rFonts w:ascii="Times New Roman" w:hAnsi="Times New Roman" w:cs="Times New Roman"/>
          <w:sz w:val="24"/>
          <w:szCs w:val="24"/>
        </w:rPr>
        <w:t xml:space="preserve">. Основанием для применения дисциплинарной ответственности является </w:t>
      </w:r>
      <w:r w:rsidRPr="004D4B4E">
        <w:rPr>
          <w:rFonts w:ascii="Times New Roman" w:hAnsi="Times New Roman" w:cs="Times New Roman"/>
          <w:i/>
          <w:sz w:val="24"/>
          <w:szCs w:val="24"/>
        </w:rPr>
        <w:t>нарушение трудовой дисциплины</w:t>
      </w:r>
      <w:r w:rsidRPr="006C0A79">
        <w:rPr>
          <w:rFonts w:ascii="Times New Roman" w:hAnsi="Times New Roman" w:cs="Times New Roman"/>
          <w:sz w:val="24"/>
          <w:szCs w:val="24"/>
        </w:rPr>
        <w:t>, связанное с несоблюдением земельного законодательства.</w:t>
      </w:r>
    </w:p>
    <w:p w14:paraId="734CFC79" w14:textId="77777777" w:rsidR="006C0A79" w:rsidRPr="006C0A79" w:rsidRDefault="006C0A79" w:rsidP="003658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 xml:space="preserve">Государственное управление и контроль использования и охраны земель является важным инструментом обеспечения рационального использования и охраны земельных ресурсов. Юридическая ответственность за земельные правонарушения направлена на предотвращение и пресечение нарушений земельного законодательства, а также на </w:t>
      </w:r>
      <w:r w:rsidRPr="006C0A79">
        <w:rPr>
          <w:rFonts w:ascii="Times New Roman" w:hAnsi="Times New Roman" w:cs="Times New Roman"/>
          <w:sz w:val="24"/>
          <w:szCs w:val="24"/>
        </w:rPr>
        <w:lastRenderedPageBreak/>
        <w:t>восстановление нарушенных прав и законных интересов землепользователей. Знание и соблюдение земельного законодательства является обязанностью каждого гражданина и организации.</w:t>
      </w:r>
    </w:p>
    <w:p w14:paraId="72C750DA" w14:textId="77777777" w:rsidR="006C0A79" w:rsidRPr="006C0A79" w:rsidRDefault="006C0A79" w:rsidP="006C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b/>
          <w:bCs/>
          <w:sz w:val="24"/>
          <w:szCs w:val="24"/>
        </w:rPr>
        <w:t>Вопросы для обсуждения:</w:t>
      </w:r>
    </w:p>
    <w:p w14:paraId="63759EA0" w14:textId="77777777" w:rsidR="006C0A79" w:rsidRPr="006C0A79" w:rsidRDefault="006C0A79" w:rsidP="0016225C">
      <w:pPr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Какие меры можно предпринять для повышения эффективности государственного земельного контроля?</w:t>
      </w:r>
    </w:p>
    <w:p w14:paraId="32533B77" w14:textId="77777777" w:rsidR="006C0A79" w:rsidRPr="006C0A79" w:rsidRDefault="006C0A79" w:rsidP="0016225C">
      <w:pPr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Какие проблемы существуют в сфере привлечения к юридической ответственности за земельные правонарушения?</w:t>
      </w:r>
    </w:p>
    <w:p w14:paraId="3E1D07D1" w14:textId="77777777" w:rsidR="006C0A79" w:rsidRPr="006C0A79" w:rsidRDefault="006C0A79" w:rsidP="0016225C">
      <w:pPr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A79">
        <w:rPr>
          <w:rFonts w:ascii="Times New Roman" w:hAnsi="Times New Roman" w:cs="Times New Roman"/>
          <w:sz w:val="24"/>
          <w:szCs w:val="24"/>
        </w:rPr>
        <w:t>Как можно повысить правовую грамотность граждан в области земельного законодательства?</w:t>
      </w:r>
    </w:p>
    <w:p w14:paraId="094E2329" w14:textId="77777777" w:rsidR="00E32830" w:rsidRDefault="00E32830" w:rsidP="00E328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6EEAD9" w14:textId="1599B4C5" w:rsidR="00EC7B8C" w:rsidRPr="0016693D" w:rsidRDefault="00171E20" w:rsidP="001669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№2</w:t>
      </w:r>
      <w:r w:rsidR="00045C40" w:rsidRPr="0016693D">
        <w:rPr>
          <w:rFonts w:ascii="Times New Roman" w:hAnsi="Times New Roman" w:cs="Times New Roman"/>
          <w:b/>
          <w:sz w:val="24"/>
          <w:szCs w:val="24"/>
        </w:rPr>
        <w:t>.</w:t>
      </w:r>
      <w:r w:rsidR="00EC7B8C" w:rsidRPr="0016693D">
        <w:rPr>
          <w:rFonts w:ascii="Times New Roman" w:hAnsi="Times New Roman" w:cs="Times New Roman"/>
          <w:b/>
          <w:sz w:val="24"/>
          <w:szCs w:val="24"/>
        </w:rPr>
        <w:t xml:space="preserve"> Концептуальные основы оценки</w:t>
      </w:r>
    </w:p>
    <w:p w14:paraId="6E8916E5" w14:textId="77777777" w:rsidR="00FF727F" w:rsidRDefault="0016693D" w:rsidP="0016225C">
      <w:pPr>
        <w:pStyle w:val="a4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727F">
        <w:rPr>
          <w:rFonts w:ascii="Times New Roman" w:hAnsi="Times New Roman" w:cs="Times New Roman"/>
          <w:sz w:val="24"/>
          <w:szCs w:val="24"/>
        </w:rPr>
        <w:t xml:space="preserve">Сущность, необходимость и организация оценочной деятельности в рыночной экономике. </w:t>
      </w:r>
    </w:p>
    <w:p w14:paraId="52348190" w14:textId="2B2CBE31" w:rsidR="00EC7B8C" w:rsidRPr="00FF727F" w:rsidRDefault="0016693D" w:rsidP="0016225C">
      <w:pPr>
        <w:pStyle w:val="a4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727F">
        <w:rPr>
          <w:rFonts w:ascii="Times New Roman" w:hAnsi="Times New Roman" w:cs="Times New Roman"/>
          <w:sz w:val="24"/>
          <w:szCs w:val="24"/>
        </w:rPr>
        <w:t>Объекты и субъекты стоимостной оценки. Регулирование оценочной деятельности в PФ.</w:t>
      </w:r>
    </w:p>
    <w:p w14:paraId="272F0C25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1. Сущность, необходимость и организация оценочной деятельности в рыночной экономике</w:t>
      </w:r>
    </w:p>
    <w:p w14:paraId="52F1B212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1.1. Сущность и цели оценки земли</w:t>
      </w:r>
    </w:p>
    <w:p w14:paraId="1D493315" w14:textId="77777777" w:rsidR="004B2145" w:rsidRPr="004B2145" w:rsidRDefault="004B2145" w:rsidP="0016225C">
      <w:pPr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Сущность оценки земли</w:t>
      </w:r>
      <w:r w:rsidRPr="004B2145">
        <w:rPr>
          <w:rFonts w:ascii="Times New Roman" w:hAnsi="Times New Roman" w:cs="Times New Roman"/>
          <w:sz w:val="24"/>
          <w:szCs w:val="24"/>
        </w:rPr>
        <w:t xml:space="preserve"> заключается в определении рыночной или иной стоимости земельного участка или прав на него на конкретную дату. Оценка – это профессиональное суждение оценщика о наиболее вероятной цене объекта оценки. Это не арифметический расчет, а сложный процесс, учитывающий множество факторов. Важно понимать, что стоимость – это не фиксированная величина, а динамичный показатель, зависящий от рыночной конъюнктуры, экономической ситуации и других внешних факторов.</w:t>
      </w:r>
    </w:p>
    <w:p w14:paraId="1C397E9A" w14:textId="77777777" w:rsidR="004B2145" w:rsidRPr="004B2145" w:rsidRDefault="004B2145" w:rsidP="0016225C">
      <w:pPr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Цели оценки земли:</w:t>
      </w:r>
    </w:p>
    <w:p w14:paraId="64BAA8D8" w14:textId="77777777" w:rsidR="004B2145" w:rsidRPr="004B2145" w:rsidRDefault="004B2145" w:rsidP="0016225C">
      <w:pPr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Совершение сделок купли-продажи, аренды, дарения, мены: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Определение справедливой цены сделки, чтобы избежать ущерба для сторон.</w:t>
      </w:r>
    </w:p>
    <w:p w14:paraId="67EC4A92" w14:textId="77777777" w:rsidR="004B2145" w:rsidRPr="004B2145" w:rsidRDefault="004B2145" w:rsidP="0016225C">
      <w:pPr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Внесение земельного участка в качестве вклада в уставный капитал: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Определение денежной оценки неденежного вклада.</w:t>
      </w:r>
    </w:p>
    <w:p w14:paraId="6EF5B6A7" w14:textId="77777777" w:rsidR="004B2145" w:rsidRPr="004B2145" w:rsidRDefault="004B2145" w:rsidP="0016225C">
      <w:pPr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Кредитование под залог земельного участка: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Определение залоговой стоимости.</w:t>
      </w:r>
    </w:p>
    <w:p w14:paraId="636D08EC" w14:textId="77777777" w:rsidR="004B2145" w:rsidRPr="004B2145" w:rsidRDefault="004B2145" w:rsidP="0016225C">
      <w:pPr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Страхование земельного участка: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Определение страховой стоимости.</w:t>
      </w:r>
    </w:p>
    <w:p w14:paraId="68FC2112" w14:textId="77777777" w:rsidR="004B2145" w:rsidRPr="004B2145" w:rsidRDefault="004B2145" w:rsidP="0016225C">
      <w:pPr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Налогообложение: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Определение кадастровой стоимости для расчета земельного налога (кадастровая стоимость часто оспаривается и приводится к рыночной).</w:t>
      </w:r>
    </w:p>
    <w:p w14:paraId="2B8D997D" w14:textId="77777777" w:rsidR="004B2145" w:rsidRPr="004B2145" w:rsidRDefault="004B2145" w:rsidP="0016225C">
      <w:pPr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Разрешение имущественных споров: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Определение доли в земельном участке при разделе имущества.</w:t>
      </w:r>
    </w:p>
    <w:p w14:paraId="7246241A" w14:textId="77777777" w:rsidR="004B2145" w:rsidRPr="004B2145" w:rsidRDefault="004B2145" w:rsidP="0016225C">
      <w:pPr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Определение размера ущерба: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Оценка убытков, связанных с изъятием земельного участка для государственных нужд, неправомерными действиями и т.д.</w:t>
      </w:r>
    </w:p>
    <w:p w14:paraId="07E3F588" w14:textId="77777777" w:rsidR="004B2145" w:rsidRPr="004B2145" w:rsidRDefault="004B2145" w:rsidP="0016225C">
      <w:pPr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Оценка эффективности инвестиционных проектов: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Определение текущей стоимости будущих доходов, связанных с использованием земли.</w:t>
      </w:r>
    </w:p>
    <w:p w14:paraId="4F4F0E17" w14:textId="77777777" w:rsidR="004B2145" w:rsidRPr="004B2145" w:rsidRDefault="004B2145" w:rsidP="0016225C">
      <w:pPr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Принятие управленческих решений: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Например, при определении наиболее эффективного использования земельного участка.</w:t>
      </w:r>
    </w:p>
    <w:p w14:paraId="26DC5E3A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1.2. Необходимость оценки в рыночной экономике</w:t>
      </w:r>
    </w:p>
    <w:p w14:paraId="6F1790B0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В условиях рыночной экономики земля является ценным активом, требующим объективной оценки. Отсутствие адекватной оценки может привести к негативным последствиям:</w:t>
      </w:r>
    </w:p>
    <w:p w14:paraId="7616A3EC" w14:textId="77777777" w:rsidR="004B2145" w:rsidRPr="004B2145" w:rsidRDefault="004B2145" w:rsidP="0016225C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Неэффективное использование земли: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Без понимания реальной стоимости земли сложно принимать обоснованные решения о ее использовании.</w:t>
      </w:r>
    </w:p>
    <w:p w14:paraId="5D9B9BD4" w14:textId="77777777" w:rsidR="004B2145" w:rsidRPr="004B2145" w:rsidRDefault="004B2145" w:rsidP="0016225C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Искажение рыночных цен: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Необъективная оценка может привести к завышению или занижению цен, что негативно сказывается на рыночном равновесии.</w:t>
      </w:r>
    </w:p>
    <w:p w14:paraId="35B6010A" w14:textId="77777777" w:rsidR="004B2145" w:rsidRPr="004B2145" w:rsidRDefault="004B2145" w:rsidP="0016225C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Ущемление прав и законных интересов собственников: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Неправильная оценка может привести к потере части стоимости земли при совершении сделок.</w:t>
      </w:r>
    </w:p>
    <w:p w14:paraId="22529B20" w14:textId="77777777" w:rsidR="004B2145" w:rsidRPr="004B2145" w:rsidRDefault="004B2145" w:rsidP="0016225C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Недопоступление налоговых платежей: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Занижение кадастровой стоимости приводит к уменьшению поступлений земельного налога в бюджет.</w:t>
      </w:r>
    </w:p>
    <w:p w14:paraId="5615E0D5" w14:textId="77777777" w:rsidR="004B2145" w:rsidRPr="004B2145" w:rsidRDefault="004B2145" w:rsidP="0016225C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Споры и конфликты: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Необъективная оценка может стать причиной разногласий между сторонами сделки, между наследниками, между государством и собственниками.</w:t>
      </w:r>
    </w:p>
    <w:p w14:paraId="205F2CCA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Объективная и профессиональная оценка земли обеспечивает прозрачность и справедливость земельных отношений, способствует эффективному использованию земельных ресурсов и защищает права и законные интересы участников рынка.</w:t>
      </w:r>
    </w:p>
    <w:p w14:paraId="7E45F9F3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1.3. Организация оценочной деятельности</w:t>
      </w:r>
    </w:p>
    <w:p w14:paraId="5D92E4CC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Оценочная деятельность организуется на основе принципов независимости, объективности, профессионализма и конфиденциальности.</w:t>
      </w:r>
    </w:p>
    <w:p w14:paraId="67605A52" w14:textId="77777777" w:rsidR="004B2145" w:rsidRPr="004B2145" w:rsidRDefault="004B2145" w:rsidP="0016225C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Независимость: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Оценщик должен быть независим от заказчика и других заинтересованных лиц. Он должен руководствоваться только профессиональными знаниями и опытом.</w:t>
      </w:r>
    </w:p>
    <w:p w14:paraId="7675F16C" w14:textId="77777777" w:rsidR="004B2145" w:rsidRPr="004B2145" w:rsidRDefault="004B2145" w:rsidP="0016225C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Объективность: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Оценщик должен основываться на достоверной и актуальной информации, использовать обоснованные методы оценки и избегать предвзятости.</w:t>
      </w:r>
    </w:p>
    <w:p w14:paraId="25BBC32F" w14:textId="77777777" w:rsidR="004B2145" w:rsidRPr="004B2145" w:rsidRDefault="004B2145" w:rsidP="0016225C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Профессионализм: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Оценщик должен обладать необходимыми знаниями и опытом, постоянно повышать свою квалификацию и следовать этическим нормам.</w:t>
      </w:r>
    </w:p>
    <w:p w14:paraId="2F3B9ACC" w14:textId="77777777" w:rsidR="004B2145" w:rsidRPr="004B2145" w:rsidRDefault="004B2145" w:rsidP="0016225C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Конфиденциальность: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Оценщик не имеет права разглашать информацию, полученную в ходе проведения оценки, без согласия заказчика.</w:t>
      </w:r>
    </w:p>
    <w:p w14:paraId="1CAE4AD8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В России оценочная деятельность осуществляется как частными практикующими оценщиками, так и оценочными компаниями. Для занятия оценочной деятельностью необходимо соответствовать определенным требованиям, установленным законодательством (наличие квалификационного аттестата, членство в СРО).</w:t>
      </w:r>
    </w:p>
    <w:p w14:paraId="657A05ED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2. Объекты и субъекты стоимостной оценки</w:t>
      </w:r>
    </w:p>
    <w:p w14:paraId="15423D8D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2.1. Объекты оценки: земельные участки и права на них</w:t>
      </w:r>
    </w:p>
    <w:p w14:paraId="294005A4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Объектами оценки могут быть:</w:t>
      </w:r>
    </w:p>
    <w:p w14:paraId="18253FFE" w14:textId="77777777" w:rsidR="004B2145" w:rsidRPr="004B2145" w:rsidRDefault="004B2145" w:rsidP="0016225C">
      <w:pPr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Земельные участки:</w:t>
      </w:r>
      <w:r w:rsidRPr="004B2145">
        <w:rPr>
          <w:rFonts w:ascii="Times New Roman" w:hAnsi="Times New Roman" w:cs="Times New Roman"/>
          <w:sz w:val="24"/>
          <w:szCs w:val="24"/>
        </w:rPr>
        <w:t xml:space="preserve"> Части поверхности земли, границы которых описаны и удостоверены в установленном порядке (ст. 11.1 Земельного кодекса РФ).</w:t>
      </w:r>
    </w:p>
    <w:p w14:paraId="6814BDD3" w14:textId="77777777" w:rsidR="004B2145" w:rsidRPr="004B2145" w:rsidRDefault="004B2145" w:rsidP="0016225C">
      <w:pPr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Права на земельные участки: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Право собственности, право постоянного (бессрочного) пользования, право пожизненного наследуемого владения, право аренды, право сервитута (ограниченного пользования чужим земельным участком).</w:t>
      </w:r>
    </w:p>
    <w:p w14:paraId="7EC33D96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Оценка прав на земельные участки может быть необходима, например, при определении стоимости права аренды, при разделе совместной собственности на земельный участок или при установлении платы за сервитут.</w:t>
      </w:r>
    </w:p>
    <w:p w14:paraId="231E9FF3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2.2. Субъекты оценки: заказчики и оценщики</w:t>
      </w:r>
    </w:p>
    <w:p w14:paraId="68EAFBE0" w14:textId="77777777" w:rsidR="004B2145" w:rsidRPr="004B2145" w:rsidRDefault="004B2145" w:rsidP="0016225C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Заказчик оценки:</w:t>
      </w:r>
      <w:r w:rsidRPr="004B2145">
        <w:rPr>
          <w:rFonts w:ascii="Times New Roman" w:hAnsi="Times New Roman" w:cs="Times New Roman"/>
          <w:sz w:val="24"/>
          <w:szCs w:val="24"/>
        </w:rPr>
        <w:t xml:space="preserve"> Лицо, заинтересованное в проведении оценки и заключившее договор с оценщиком. Заказчиком может быть физическое или юридическое лицо, орган государственной власти или местного самоуправления. Заказчик определяет цель оценки и предоставляет оценщику необходимую информацию.</w:t>
      </w:r>
    </w:p>
    <w:p w14:paraId="19CDAEF9" w14:textId="77777777" w:rsidR="004B2145" w:rsidRPr="004B2145" w:rsidRDefault="004B2145" w:rsidP="0016225C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Оценщик:</w:t>
      </w:r>
      <w:r w:rsidRPr="004B2145">
        <w:rPr>
          <w:rFonts w:ascii="Times New Roman" w:hAnsi="Times New Roman" w:cs="Times New Roman"/>
          <w:sz w:val="24"/>
          <w:szCs w:val="24"/>
        </w:rPr>
        <w:t xml:space="preserve"> Физическое лицо, имеющее право осуществлять оценочную деятельность в соответствии с законодательством Российской Федерации (наличие квалификационного аттестата и членство в СРО). Оценщик проводит оценку, составляет отчет об оценке и </w:t>
      </w:r>
      <w:r w:rsidRPr="004B2145">
        <w:rPr>
          <w:rFonts w:ascii="Times New Roman" w:hAnsi="Times New Roman" w:cs="Times New Roman"/>
          <w:sz w:val="24"/>
          <w:szCs w:val="24"/>
        </w:rPr>
        <w:lastRenderedPageBreak/>
        <w:t>несет ответственность за достоверность и объективность результатов. Оценщик обязан соблюдать требования законодательства, стандарты оценочной деятельности и этические нормы.</w:t>
      </w:r>
    </w:p>
    <w:p w14:paraId="02BE3DD5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3. Регулирование оценочной деятельности в РФ</w:t>
      </w:r>
    </w:p>
    <w:p w14:paraId="5756D0C5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3.1. Федеральный закон "Об оценочной деятельности в Российской Федерации" № 135-ФЗ</w:t>
      </w:r>
    </w:p>
    <w:p w14:paraId="3893FED8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Основным нормативным правовым актом, регулирующим оценочную деятельность в России, является Федеральный закон от 29.07.1998 N 135-ФЗ "Об оценочной деятельности в Российской Федерации". Этот закон устанавливает:</w:t>
      </w:r>
    </w:p>
    <w:p w14:paraId="20A476D1" w14:textId="77777777" w:rsidR="004B2145" w:rsidRPr="004B2145" w:rsidRDefault="004B2145" w:rsidP="0016225C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Правовые основы оценочной деятельности.</w:t>
      </w:r>
    </w:p>
    <w:p w14:paraId="606EFB4D" w14:textId="77777777" w:rsidR="004B2145" w:rsidRPr="004B2145" w:rsidRDefault="004B2145" w:rsidP="0016225C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Требования к оценщикам.</w:t>
      </w:r>
    </w:p>
    <w:p w14:paraId="1CABAED6" w14:textId="77777777" w:rsidR="004B2145" w:rsidRPr="004B2145" w:rsidRDefault="004B2145" w:rsidP="0016225C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Требования к отчету об оценке.</w:t>
      </w:r>
    </w:p>
    <w:p w14:paraId="015F16DF" w14:textId="77777777" w:rsidR="004B2145" w:rsidRPr="004B2145" w:rsidRDefault="004B2145" w:rsidP="0016225C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Порядок регулирования оценочной деятельности.</w:t>
      </w:r>
    </w:p>
    <w:p w14:paraId="37FD154C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3.2. Стандарты оценочной деятельности (ФСО, ФОС)</w:t>
      </w:r>
    </w:p>
    <w:p w14:paraId="0326C581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Стандарты оценочной деятельности (ФСО и ФОС) устанавливают обязательные требования к проведению оценки и составлению отчета об оценке. Они разрабатываются и утверждаются уполномоченным федеральным органом исполнительной власти.</w:t>
      </w:r>
    </w:p>
    <w:p w14:paraId="017389FC" w14:textId="77777777" w:rsidR="004B2145" w:rsidRPr="004B2145" w:rsidRDefault="004B2145" w:rsidP="0016225C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Федеральные стандарты оценки (ФСО):</w:t>
      </w:r>
      <w:r w:rsidRPr="004B2145">
        <w:rPr>
          <w:rFonts w:ascii="Times New Roman" w:hAnsi="Times New Roman" w:cs="Times New Roman"/>
          <w:sz w:val="24"/>
          <w:szCs w:val="24"/>
        </w:rPr>
        <w:t xml:space="preserve"> Устанавливают общие принципы и требования к оценке различных видов объектов (недвижимость, движимое имущество, бизнес, нематериальные активы и т.д.).</w:t>
      </w:r>
    </w:p>
    <w:p w14:paraId="48812ACB" w14:textId="77777777" w:rsidR="004B2145" w:rsidRPr="004B2145" w:rsidRDefault="004B2145" w:rsidP="0016225C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Федеральные стандарты оценки (ФОС) (ранее были как ФСО):</w:t>
      </w:r>
      <w:r w:rsidRPr="004B2145">
        <w:rPr>
          <w:rFonts w:ascii="Times New Roman" w:hAnsi="Times New Roman" w:cs="Times New Roman"/>
          <w:sz w:val="24"/>
          <w:szCs w:val="24"/>
        </w:rPr>
        <w:t xml:space="preserve"> содержат детализированные требования к оценке конкретных видов объектов, такие как оценка недвижимости, оценка машин и оборудования, оценка нематериальных активов и интеллектуальной собственности.</w:t>
      </w:r>
    </w:p>
    <w:p w14:paraId="1E537899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Соблюдение стандартов оценочной деятельности является обязательным для всех оценщиков при проведении оценки объектов.</w:t>
      </w:r>
    </w:p>
    <w:p w14:paraId="03463790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3.3. Саморегулируемые организации оценщиков (СРО)</w:t>
      </w:r>
    </w:p>
    <w:p w14:paraId="37CE48B5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Саморегулируемые организации оценщиков (СРО) - это некоммерческие организации, объединяющие оценщиков на основе обязательного членства. СРО выполняют следующие функции:</w:t>
      </w:r>
    </w:p>
    <w:p w14:paraId="7FC826D6" w14:textId="77777777" w:rsidR="004B2145" w:rsidRPr="004B2145" w:rsidRDefault="004B2145" w:rsidP="0016225C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Контроль за деятельностью своих членов.</w:t>
      </w:r>
    </w:p>
    <w:p w14:paraId="3C86E3D7" w14:textId="77777777" w:rsidR="004B2145" w:rsidRPr="004B2145" w:rsidRDefault="004B2145" w:rsidP="0016225C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Разработка и утверждение правил профессиональной этики.</w:t>
      </w:r>
    </w:p>
    <w:p w14:paraId="1DDF91F0" w14:textId="77777777" w:rsidR="004B2145" w:rsidRPr="004B2145" w:rsidRDefault="004B2145" w:rsidP="0016225C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Обучение и повышение квалификации оценщиков.</w:t>
      </w:r>
    </w:p>
    <w:p w14:paraId="24EE6E12" w14:textId="77777777" w:rsidR="004B2145" w:rsidRPr="004B2145" w:rsidRDefault="004B2145" w:rsidP="0016225C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Защита прав и законных интересов своих членов.</w:t>
      </w:r>
    </w:p>
    <w:p w14:paraId="6A015FC2" w14:textId="77777777" w:rsidR="004B2145" w:rsidRPr="004B2145" w:rsidRDefault="004B2145" w:rsidP="0016225C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Ведение реестра членов СРО.</w:t>
      </w:r>
    </w:p>
    <w:p w14:paraId="51C390A8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Членство в СРО является обязательным условием для занятия оценочной деятельностью в России. СРО несут субсидиарную ответственность по обязательствам своих членов, возникшим в результате оценочной деятельности.</w:t>
      </w:r>
    </w:p>
    <w:p w14:paraId="56916E8C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244AD1D2" w14:textId="77777777" w:rsidR="004B2145" w:rsidRPr="004B2145" w:rsidRDefault="004B2145" w:rsidP="004B2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145">
        <w:rPr>
          <w:rFonts w:ascii="Times New Roman" w:hAnsi="Times New Roman" w:cs="Times New Roman"/>
          <w:sz w:val="24"/>
          <w:szCs w:val="24"/>
        </w:rPr>
        <w:t>Концептуальные основы оценки земли включают понимание сущности и целей оценки, ее необходимости в рыночной экономике, организации оценочной деятельности, объектов и субъектов оценки, а также регулирования оценочной деятельности. Знание этих основ необходимо для эффективного управления земельными ресурсами, совершения выгодных сделок с землей и защиты прав и законных интересов участников земельных отношений.</w:t>
      </w:r>
    </w:p>
    <w:p w14:paraId="435B5F88" w14:textId="77777777" w:rsidR="00EC7B8C" w:rsidRDefault="00EC7B8C" w:rsidP="00EC7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25BF62" w14:textId="77777777" w:rsidR="007915F7" w:rsidRDefault="007915F7" w:rsidP="00EC7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2BD8AA" w14:textId="77777777" w:rsidR="007915F7" w:rsidRDefault="007915F7" w:rsidP="00EC7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239EDD" w14:textId="77777777" w:rsidR="007915F7" w:rsidRDefault="007915F7" w:rsidP="00EC7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926B77" w14:textId="77777777" w:rsidR="007915F7" w:rsidRPr="00EC7B8C" w:rsidRDefault="007915F7" w:rsidP="00EC7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6CC5AA" w14:textId="55C60BD2" w:rsidR="00EC7B8C" w:rsidRPr="0016693D" w:rsidRDefault="00171E20" w:rsidP="001669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№ 3</w:t>
      </w:r>
      <w:r w:rsidR="00045C40" w:rsidRPr="0016693D">
        <w:rPr>
          <w:rFonts w:ascii="Times New Roman" w:hAnsi="Times New Roman" w:cs="Times New Roman"/>
          <w:b/>
          <w:sz w:val="24"/>
          <w:szCs w:val="24"/>
        </w:rPr>
        <w:t>.</w:t>
      </w:r>
      <w:r w:rsidR="00EC7B8C" w:rsidRPr="0016693D">
        <w:rPr>
          <w:rFonts w:ascii="Times New Roman" w:hAnsi="Times New Roman" w:cs="Times New Roman"/>
          <w:b/>
          <w:sz w:val="24"/>
          <w:szCs w:val="24"/>
        </w:rPr>
        <w:t xml:space="preserve"> Затратный подход  к оценке стоимости недвижимости</w:t>
      </w:r>
      <w:r w:rsidR="004D7781">
        <w:rPr>
          <w:rFonts w:ascii="Times New Roman" w:hAnsi="Times New Roman" w:cs="Times New Roman"/>
          <w:b/>
          <w:sz w:val="24"/>
          <w:szCs w:val="24"/>
        </w:rPr>
        <w:t xml:space="preserve"> 4ч</w:t>
      </w:r>
    </w:p>
    <w:p w14:paraId="33884AAC" w14:textId="77777777" w:rsidR="007F363B" w:rsidRPr="007F363B" w:rsidRDefault="007F363B" w:rsidP="00EC7B8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363B">
        <w:rPr>
          <w:rFonts w:ascii="Times New Roman" w:hAnsi="Times New Roman" w:cs="Times New Roman"/>
          <w:color w:val="FF0000"/>
          <w:sz w:val="24"/>
          <w:szCs w:val="24"/>
        </w:rPr>
        <w:t xml:space="preserve">1. </w:t>
      </w:r>
      <w:r w:rsidR="0016693D" w:rsidRPr="007F363B">
        <w:rPr>
          <w:rFonts w:ascii="Times New Roman" w:hAnsi="Times New Roman" w:cs="Times New Roman"/>
          <w:color w:val="FF0000"/>
          <w:sz w:val="24"/>
          <w:szCs w:val="24"/>
        </w:rPr>
        <w:t xml:space="preserve">Суть затратного подхода  к оценке стоимости недвижимости. </w:t>
      </w:r>
    </w:p>
    <w:p w14:paraId="1EE7DBC2" w14:textId="1ED396BC" w:rsidR="00EC7B8C" w:rsidRPr="007F363B" w:rsidRDefault="007F363B" w:rsidP="00EC7B8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363B">
        <w:rPr>
          <w:rFonts w:ascii="Times New Roman" w:hAnsi="Times New Roman" w:cs="Times New Roman"/>
          <w:color w:val="FF0000"/>
          <w:sz w:val="24"/>
          <w:szCs w:val="24"/>
        </w:rPr>
        <w:t xml:space="preserve">2. </w:t>
      </w:r>
      <w:r w:rsidR="0016693D" w:rsidRPr="007F363B">
        <w:rPr>
          <w:rFonts w:ascii="Times New Roman" w:hAnsi="Times New Roman" w:cs="Times New Roman"/>
          <w:color w:val="FF0000"/>
          <w:sz w:val="24"/>
          <w:szCs w:val="24"/>
        </w:rPr>
        <w:t>Метод активов. Метод расчета полной восстановительной стоимости и стоимости замещения.</w:t>
      </w:r>
    </w:p>
    <w:p w14:paraId="5A6B39FC" w14:textId="5E9C6A70" w:rsidR="00F26EB7" w:rsidRDefault="00F26EB7" w:rsidP="00EC7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37193E" w14:textId="1B5DD3A5" w:rsidR="00F26EB7" w:rsidRDefault="007F363B" w:rsidP="00C539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63B">
        <w:rPr>
          <w:rFonts w:ascii="Times New Roman" w:hAnsi="Times New Roman" w:cs="Times New Roman"/>
          <w:color w:val="FF0000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946" w:rsidRPr="00C53946">
        <w:rPr>
          <w:rFonts w:ascii="Times New Roman" w:hAnsi="Times New Roman" w:cs="Times New Roman"/>
          <w:sz w:val="24"/>
          <w:szCs w:val="24"/>
        </w:rPr>
        <w:t>Затратный подход предусматривает</w:t>
      </w:r>
      <w:r w:rsidR="00C53946">
        <w:rPr>
          <w:rFonts w:ascii="Times New Roman" w:hAnsi="Times New Roman" w:cs="Times New Roman"/>
          <w:sz w:val="24"/>
          <w:szCs w:val="24"/>
        </w:rPr>
        <w:t xml:space="preserve"> </w:t>
      </w:r>
      <w:r w:rsidR="00C53946" w:rsidRPr="00C53946">
        <w:rPr>
          <w:rFonts w:ascii="Times New Roman" w:hAnsi="Times New Roman" w:cs="Times New Roman"/>
          <w:sz w:val="24"/>
          <w:szCs w:val="24"/>
        </w:rPr>
        <w:t>оценку полного воспроизводства ил</w:t>
      </w:r>
      <w:r w:rsidR="00C53946">
        <w:rPr>
          <w:rFonts w:ascii="Times New Roman" w:hAnsi="Times New Roman" w:cs="Times New Roman"/>
          <w:sz w:val="24"/>
          <w:szCs w:val="24"/>
        </w:rPr>
        <w:t xml:space="preserve">и </w:t>
      </w:r>
      <w:r w:rsidR="00C53946" w:rsidRPr="00C53946">
        <w:rPr>
          <w:rFonts w:ascii="Times New Roman" w:hAnsi="Times New Roman" w:cs="Times New Roman"/>
          <w:sz w:val="24"/>
          <w:szCs w:val="24"/>
        </w:rPr>
        <w:t>стоимости полного замещения оцениваемого объекта недвижимости за вычетом</w:t>
      </w:r>
      <w:r w:rsidR="00C53946">
        <w:rPr>
          <w:rFonts w:ascii="Times New Roman" w:hAnsi="Times New Roman" w:cs="Times New Roman"/>
          <w:sz w:val="24"/>
          <w:szCs w:val="24"/>
        </w:rPr>
        <w:t xml:space="preserve"> </w:t>
      </w:r>
      <w:r w:rsidR="00C53946" w:rsidRPr="00C53946">
        <w:rPr>
          <w:rFonts w:ascii="Times New Roman" w:hAnsi="Times New Roman" w:cs="Times New Roman"/>
          <w:sz w:val="24"/>
          <w:szCs w:val="24"/>
        </w:rPr>
        <w:t>стоимости физического, морального и</w:t>
      </w:r>
      <w:r w:rsidR="00C53946">
        <w:rPr>
          <w:rFonts w:ascii="Times New Roman" w:hAnsi="Times New Roman" w:cs="Times New Roman"/>
          <w:sz w:val="24"/>
          <w:szCs w:val="24"/>
        </w:rPr>
        <w:t xml:space="preserve"> </w:t>
      </w:r>
      <w:r w:rsidR="00C53946" w:rsidRPr="00C53946">
        <w:rPr>
          <w:rFonts w:ascii="Times New Roman" w:hAnsi="Times New Roman" w:cs="Times New Roman"/>
          <w:sz w:val="24"/>
          <w:szCs w:val="24"/>
        </w:rPr>
        <w:t>экономического износа.</w:t>
      </w:r>
      <w:r w:rsidR="00C53946">
        <w:rPr>
          <w:rFonts w:ascii="Times New Roman" w:hAnsi="Times New Roman" w:cs="Times New Roman"/>
          <w:sz w:val="24"/>
          <w:szCs w:val="24"/>
        </w:rPr>
        <w:t xml:space="preserve"> </w:t>
      </w:r>
      <w:r w:rsidR="00F26EB7" w:rsidRPr="00F26EB7">
        <w:rPr>
          <w:rFonts w:ascii="Times New Roman" w:hAnsi="Times New Roman" w:cs="Times New Roman"/>
          <w:sz w:val="24"/>
          <w:szCs w:val="24"/>
        </w:rPr>
        <w:t>Затратный подход применяется, когда существует возможность заменить объект оценки другим объектом, который либо является точной</w:t>
      </w:r>
      <w:r w:rsidR="00A431B2">
        <w:rPr>
          <w:rFonts w:ascii="Times New Roman" w:hAnsi="Times New Roman" w:cs="Times New Roman"/>
          <w:sz w:val="24"/>
          <w:szCs w:val="24"/>
        </w:rPr>
        <w:t xml:space="preserve"> </w:t>
      </w:r>
      <w:r w:rsidR="00F26EB7" w:rsidRPr="00F26EB7">
        <w:rPr>
          <w:rFonts w:ascii="Times New Roman" w:hAnsi="Times New Roman" w:cs="Times New Roman"/>
          <w:sz w:val="24"/>
          <w:szCs w:val="24"/>
        </w:rPr>
        <w:t>копией объекта оценки, либо имеет аналогичные полезные свойства. Если</w:t>
      </w:r>
      <w:r w:rsidR="00A431B2">
        <w:rPr>
          <w:rFonts w:ascii="Times New Roman" w:hAnsi="Times New Roman" w:cs="Times New Roman"/>
          <w:sz w:val="24"/>
          <w:szCs w:val="24"/>
        </w:rPr>
        <w:t xml:space="preserve"> </w:t>
      </w:r>
      <w:r w:rsidR="00F26EB7" w:rsidRPr="00F26EB7">
        <w:rPr>
          <w:rFonts w:ascii="Times New Roman" w:hAnsi="Times New Roman" w:cs="Times New Roman"/>
          <w:sz w:val="24"/>
          <w:szCs w:val="24"/>
        </w:rPr>
        <w:t>объекту оценки свойственно уменьшение стоимости в связи с физическим</w:t>
      </w:r>
      <w:r w:rsidR="00A431B2">
        <w:rPr>
          <w:rFonts w:ascii="Times New Roman" w:hAnsi="Times New Roman" w:cs="Times New Roman"/>
          <w:sz w:val="24"/>
          <w:szCs w:val="24"/>
        </w:rPr>
        <w:t xml:space="preserve"> </w:t>
      </w:r>
      <w:r w:rsidR="00F26EB7" w:rsidRPr="00F26EB7">
        <w:rPr>
          <w:rFonts w:ascii="Times New Roman" w:hAnsi="Times New Roman" w:cs="Times New Roman"/>
          <w:sz w:val="24"/>
          <w:szCs w:val="24"/>
        </w:rPr>
        <w:t xml:space="preserve">состоянием, функциональным или экономическим устареванием, при применении затратного подхода необходимо учитывать износ и все виды </w:t>
      </w:r>
      <w:proofErr w:type="spellStart"/>
      <w:r w:rsidR="00F26EB7" w:rsidRPr="00F26EB7">
        <w:rPr>
          <w:rFonts w:ascii="Times New Roman" w:hAnsi="Times New Roman" w:cs="Times New Roman"/>
          <w:sz w:val="24"/>
          <w:szCs w:val="24"/>
        </w:rPr>
        <w:t>устареваний</w:t>
      </w:r>
      <w:proofErr w:type="spellEnd"/>
      <w:r w:rsidR="00F26EB7" w:rsidRPr="00F26EB7">
        <w:rPr>
          <w:rFonts w:ascii="Times New Roman" w:hAnsi="Times New Roman" w:cs="Times New Roman"/>
          <w:sz w:val="24"/>
          <w:szCs w:val="24"/>
        </w:rPr>
        <w:t>.</w:t>
      </w:r>
    </w:p>
    <w:p w14:paraId="1D657AC9" w14:textId="685E8825" w:rsidR="00F26EB7" w:rsidRPr="00F26EB7" w:rsidRDefault="00F26EB7" w:rsidP="00A431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6EB7">
        <w:rPr>
          <w:rFonts w:ascii="Times New Roman" w:hAnsi="Times New Roman" w:cs="Times New Roman"/>
          <w:sz w:val="24"/>
          <w:szCs w:val="24"/>
        </w:rPr>
        <w:t>При применении затратного подхода оценщик учитывает следующие</w:t>
      </w:r>
      <w:r w:rsidR="00A431B2">
        <w:rPr>
          <w:rFonts w:ascii="Times New Roman" w:hAnsi="Times New Roman" w:cs="Times New Roman"/>
          <w:sz w:val="24"/>
          <w:szCs w:val="24"/>
        </w:rPr>
        <w:t xml:space="preserve"> </w:t>
      </w:r>
      <w:r w:rsidRPr="00F26EB7">
        <w:rPr>
          <w:rFonts w:ascii="Times New Roman" w:hAnsi="Times New Roman" w:cs="Times New Roman"/>
          <w:sz w:val="24"/>
          <w:szCs w:val="24"/>
        </w:rPr>
        <w:t>положения:</w:t>
      </w:r>
    </w:p>
    <w:p w14:paraId="6AA4F23F" w14:textId="111ED1BD" w:rsidR="00F26EB7" w:rsidRPr="00F26EB7" w:rsidRDefault="00F26EB7" w:rsidP="00F26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EB7">
        <w:rPr>
          <w:rFonts w:ascii="Times New Roman" w:hAnsi="Times New Roman" w:cs="Times New Roman"/>
          <w:sz w:val="24"/>
          <w:szCs w:val="24"/>
        </w:rPr>
        <w:t>а) затратный подход рекомендуется применять для оценки объекто</w:t>
      </w:r>
      <w:r w:rsidR="00A431B2">
        <w:rPr>
          <w:rFonts w:ascii="Times New Roman" w:hAnsi="Times New Roman" w:cs="Times New Roman"/>
          <w:sz w:val="24"/>
          <w:szCs w:val="24"/>
        </w:rPr>
        <w:t xml:space="preserve">в </w:t>
      </w:r>
      <w:r w:rsidRPr="00F26EB7">
        <w:rPr>
          <w:rFonts w:ascii="Times New Roman" w:hAnsi="Times New Roman" w:cs="Times New Roman"/>
          <w:sz w:val="24"/>
          <w:szCs w:val="24"/>
        </w:rPr>
        <w:t xml:space="preserve">недвижимости – земельных участков, застроенных объектами капитального строительства, или объектов капитального строительства, </w:t>
      </w:r>
      <w:r w:rsidRPr="00A43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 не их частей</w:t>
      </w:r>
      <w:r w:rsidRPr="00F26EB7">
        <w:rPr>
          <w:rFonts w:ascii="Times New Roman" w:hAnsi="Times New Roman" w:cs="Times New Roman"/>
          <w:sz w:val="24"/>
          <w:szCs w:val="24"/>
        </w:rPr>
        <w:t>, например жилых и нежилых помещений;</w:t>
      </w:r>
    </w:p>
    <w:p w14:paraId="6A3C864B" w14:textId="6ECA8F86" w:rsidR="00F26EB7" w:rsidRPr="00F26EB7" w:rsidRDefault="00F26EB7" w:rsidP="00F26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EB7">
        <w:rPr>
          <w:rFonts w:ascii="Times New Roman" w:hAnsi="Times New Roman" w:cs="Times New Roman"/>
          <w:sz w:val="24"/>
          <w:szCs w:val="24"/>
        </w:rPr>
        <w:t>б) затратный подход целесообразно применять для оценки недвижимости, если она соответствует наиболее эффективному использованию земельного участка как незастроенного и есть возможность корректной</w:t>
      </w:r>
      <w:r w:rsidR="00A431B2">
        <w:rPr>
          <w:rFonts w:ascii="Times New Roman" w:hAnsi="Times New Roman" w:cs="Times New Roman"/>
          <w:sz w:val="24"/>
          <w:szCs w:val="24"/>
        </w:rPr>
        <w:t xml:space="preserve"> </w:t>
      </w:r>
      <w:r w:rsidRPr="00F26EB7">
        <w:rPr>
          <w:rFonts w:ascii="Times New Roman" w:hAnsi="Times New Roman" w:cs="Times New Roman"/>
          <w:sz w:val="24"/>
          <w:szCs w:val="24"/>
        </w:rPr>
        <w:t xml:space="preserve">оценки физического износа, а также функционального и внешнего (экономического) </w:t>
      </w:r>
      <w:proofErr w:type="spellStart"/>
      <w:r w:rsidRPr="00F26EB7">
        <w:rPr>
          <w:rFonts w:ascii="Times New Roman" w:hAnsi="Times New Roman" w:cs="Times New Roman"/>
          <w:sz w:val="24"/>
          <w:szCs w:val="24"/>
        </w:rPr>
        <w:t>устареваний</w:t>
      </w:r>
      <w:proofErr w:type="spellEnd"/>
      <w:r w:rsidRPr="00F26EB7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строительства;</w:t>
      </w:r>
    </w:p>
    <w:p w14:paraId="65C1E4AC" w14:textId="5E024FB5" w:rsidR="00F26EB7" w:rsidRPr="00F26EB7" w:rsidRDefault="00F26EB7" w:rsidP="00F26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EB7">
        <w:rPr>
          <w:rFonts w:ascii="Times New Roman" w:hAnsi="Times New Roman" w:cs="Times New Roman"/>
          <w:sz w:val="24"/>
          <w:szCs w:val="24"/>
        </w:rPr>
        <w:t>в) затратный подход рекомендуется использовать при низкой активности рынка, когда недостаточно данных, необходимых для применения</w:t>
      </w:r>
      <w:r w:rsidR="00A431B2">
        <w:rPr>
          <w:rFonts w:ascii="Times New Roman" w:hAnsi="Times New Roman" w:cs="Times New Roman"/>
          <w:sz w:val="24"/>
          <w:szCs w:val="24"/>
        </w:rPr>
        <w:t xml:space="preserve"> </w:t>
      </w:r>
      <w:r w:rsidRPr="00F26EB7">
        <w:rPr>
          <w:rFonts w:ascii="Times New Roman" w:hAnsi="Times New Roman" w:cs="Times New Roman"/>
          <w:sz w:val="24"/>
          <w:szCs w:val="24"/>
        </w:rPr>
        <w:t>сравнительного и доходного подходов к оценке, а также для оценки недвижимости специального назначения и использования (например, линейных объектов, гидротехнических сооружений, водонапорных башен, насосных станций, котельных, инженерных сетей и другой недвижимости, в</w:t>
      </w:r>
      <w:r w:rsidR="00A431B2">
        <w:rPr>
          <w:rFonts w:ascii="Times New Roman" w:hAnsi="Times New Roman" w:cs="Times New Roman"/>
          <w:sz w:val="24"/>
          <w:szCs w:val="24"/>
        </w:rPr>
        <w:t xml:space="preserve"> </w:t>
      </w:r>
      <w:r w:rsidRPr="00F26EB7">
        <w:rPr>
          <w:rFonts w:ascii="Times New Roman" w:hAnsi="Times New Roman" w:cs="Times New Roman"/>
          <w:sz w:val="24"/>
          <w:szCs w:val="24"/>
        </w:rPr>
        <w:t>отношении которой рыночные данные о сделках и предложениях отсутствуют);</w:t>
      </w:r>
    </w:p>
    <w:p w14:paraId="7FAF1F9E" w14:textId="24337AF9" w:rsidR="00F26EB7" w:rsidRPr="00F26EB7" w:rsidRDefault="00F26EB7" w:rsidP="00F26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EB7">
        <w:rPr>
          <w:rFonts w:ascii="Times New Roman" w:hAnsi="Times New Roman" w:cs="Times New Roman"/>
          <w:sz w:val="24"/>
          <w:szCs w:val="24"/>
        </w:rPr>
        <w:t>г) в общем случае стоимость объекта недвижимости, определяемая с</w:t>
      </w:r>
      <w:r w:rsidR="00A431B2">
        <w:rPr>
          <w:rFonts w:ascii="Times New Roman" w:hAnsi="Times New Roman" w:cs="Times New Roman"/>
          <w:sz w:val="24"/>
          <w:szCs w:val="24"/>
        </w:rPr>
        <w:t xml:space="preserve"> </w:t>
      </w:r>
      <w:r w:rsidRPr="00F26EB7">
        <w:rPr>
          <w:rFonts w:ascii="Times New Roman" w:hAnsi="Times New Roman" w:cs="Times New Roman"/>
          <w:sz w:val="24"/>
          <w:szCs w:val="24"/>
        </w:rPr>
        <w:t>использованием затратного подхода, рассчитывается в следующей последовательности:</w:t>
      </w:r>
    </w:p>
    <w:p w14:paraId="152AEE40" w14:textId="5FEF904A" w:rsidR="00F26EB7" w:rsidRPr="00F26EB7" w:rsidRDefault="00F26EB7" w:rsidP="00573C6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6EB7">
        <w:rPr>
          <w:rFonts w:ascii="Times New Roman" w:hAnsi="Times New Roman" w:cs="Times New Roman"/>
          <w:sz w:val="24"/>
          <w:szCs w:val="24"/>
        </w:rPr>
        <w:t>- определение стоимости прав на земельный участок как незастроенный;</w:t>
      </w:r>
    </w:p>
    <w:p w14:paraId="31AC2820" w14:textId="11AD671E" w:rsidR="00F26EB7" w:rsidRDefault="00F26EB7" w:rsidP="00573C6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6EB7">
        <w:rPr>
          <w:rFonts w:ascii="Times New Roman" w:hAnsi="Times New Roman" w:cs="Times New Roman"/>
          <w:sz w:val="24"/>
          <w:szCs w:val="24"/>
        </w:rPr>
        <w:t>- расчет затрат на создание (воспроизводство или замещение) объектов капитального строительства;</w:t>
      </w:r>
    </w:p>
    <w:p w14:paraId="5B87F928" w14:textId="77777777" w:rsidR="00A431B2" w:rsidRPr="00A431B2" w:rsidRDefault="00A431B2" w:rsidP="00573C6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определение прибыли предпринимателя;</w:t>
      </w:r>
    </w:p>
    <w:p w14:paraId="0A6E4D99" w14:textId="77777777" w:rsidR="00A431B2" w:rsidRPr="00A431B2" w:rsidRDefault="00A431B2" w:rsidP="00573C6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 xml:space="preserve">- определение износа и </w:t>
      </w:r>
      <w:proofErr w:type="spellStart"/>
      <w:r w:rsidRPr="00A431B2">
        <w:rPr>
          <w:rFonts w:ascii="Times New Roman" w:hAnsi="Times New Roman" w:cs="Times New Roman"/>
          <w:sz w:val="24"/>
          <w:szCs w:val="24"/>
        </w:rPr>
        <w:t>устареваний</w:t>
      </w:r>
      <w:proofErr w:type="spellEnd"/>
      <w:r w:rsidRPr="00A431B2">
        <w:rPr>
          <w:rFonts w:ascii="Times New Roman" w:hAnsi="Times New Roman" w:cs="Times New Roman"/>
          <w:sz w:val="24"/>
          <w:szCs w:val="24"/>
        </w:rPr>
        <w:t>;</w:t>
      </w:r>
    </w:p>
    <w:p w14:paraId="79F8E710" w14:textId="1BD1321C" w:rsidR="00A431B2" w:rsidRPr="00A431B2" w:rsidRDefault="00A431B2" w:rsidP="00573C6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 xml:space="preserve">- определение стоимости объектов капитального строительства путем суммирования затрат на создание этих объектов и прибыли предпринимателя и вычитания их физического износа и </w:t>
      </w:r>
      <w:proofErr w:type="spellStart"/>
      <w:r w:rsidRPr="00A431B2">
        <w:rPr>
          <w:rFonts w:ascii="Times New Roman" w:hAnsi="Times New Roman" w:cs="Times New Roman"/>
          <w:sz w:val="24"/>
          <w:szCs w:val="24"/>
        </w:rPr>
        <w:t>устареваний</w:t>
      </w:r>
      <w:proofErr w:type="spellEnd"/>
      <w:r w:rsidRPr="00A431B2">
        <w:rPr>
          <w:rFonts w:ascii="Times New Roman" w:hAnsi="Times New Roman" w:cs="Times New Roman"/>
          <w:sz w:val="24"/>
          <w:szCs w:val="24"/>
        </w:rPr>
        <w:t>;</w:t>
      </w:r>
    </w:p>
    <w:p w14:paraId="2714C6BB" w14:textId="4A1E81F9" w:rsidR="00A431B2" w:rsidRPr="00A431B2" w:rsidRDefault="00A431B2" w:rsidP="00573C6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определение стоимости объекта недвижимости как суммы стоимости прав на земельный участок и стоимости объектов капитального строительства;</w:t>
      </w:r>
    </w:p>
    <w:p w14:paraId="3720C4A2" w14:textId="418F68E1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д) для целей определения рыночной стоимости объекта недвижимости с использованием затратного подхода земельный участок оцениваетс</w:t>
      </w:r>
      <w:r w:rsidR="00573C6E">
        <w:rPr>
          <w:rFonts w:ascii="Times New Roman" w:hAnsi="Times New Roman" w:cs="Times New Roman"/>
          <w:sz w:val="24"/>
          <w:szCs w:val="24"/>
        </w:rPr>
        <w:t xml:space="preserve">я </w:t>
      </w:r>
      <w:r w:rsidRPr="00A431B2">
        <w:rPr>
          <w:rFonts w:ascii="Times New Roman" w:hAnsi="Times New Roman" w:cs="Times New Roman"/>
          <w:sz w:val="24"/>
          <w:szCs w:val="24"/>
        </w:rPr>
        <w:t>как незастроенный в предположении его наиболее эффективного использования;</w:t>
      </w:r>
    </w:p>
    <w:p w14:paraId="2F9E1E4D" w14:textId="564A908F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е) расчет затрат на создание объектов капитального строительства</w:t>
      </w:r>
      <w:r w:rsidR="00573C6E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производится на основании:</w:t>
      </w:r>
    </w:p>
    <w:p w14:paraId="12928769" w14:textId="48AB0193" w:rsidR="00A431B2" w:rsidRPr="00A431B2" w:rsidRDefault="00A431B2" w:rsidP="00B149D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данных о строительных контрактах (договорах) на возведение аналогичных объектов;</w:t>
      </w:r>
    </w:p>
    <w:p w14:paraId="2A4DA48E" w14:textId="30766A37" w:rsidR="00A431B2" w:rsidRPr="00A431B2" w:rsidRDefault="00A431B2" w:rsidP="00B149D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данных о затратах на строительство аналогичных объектов из специализированных справочников;</w:t>
      </w:r>
    </w:p>
    <w:p w14:paraId="7FAE9ABF" w14:textId="77777777" w:rsidR="00A431B2" w:rsidRPr="00A431B2" w:rsidRDefault="00A431B2" w:rsidP="00B149D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сметных расчетов;</w:t>
      </w:r>
    </w:p>
    <w:p w14:paraId="6873964F" w14:textId="77777777" w:rsidR="00A431B2" w:rsidRPr="00A431B2" w:rsidRDefault="00A431B2" w:rsidP="00B149D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информации о рыночных ценах на строительные материалы;</w:t>
      </w:r>
    </w:p>
    <w:p w14:paraId="355A3788" w14:textId="77777777" w:rsidR="00A431B2" w:rsidRPr="00A431B2" w:rsidRDefault="00A431B2" w:rsidP="00B149D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других данных;</w:t>
      </w:r>
    </w:p>
    <w:p w14:paraId="17C1BF8A" w14:textId="28D50C0B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lastRenderedPageBreak/>
        <w:t>ж) затраты на создание объектов капитального строительства определяются как сумма издержек, входящих в состав строительно-монтажных</w:t>
      </w:r>
      <w:r w:rsidR="00573C6E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работ, непосредственно связанных с созданием этих объектов, и издержек,</w:t>
      </w:r>
      <w:r w:rsidR="00573C6E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сопутствующих их созданию, но не включаемых в состав строительно-монтажных работ;</w:t>
      </w:r>
    </w:p>
    <w:p w14:paraId="23DF495F" w14:textId="0CA5D4DE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з) для целей оценки рыночной стоимости недвижимости величина</w:t>
      </w:r>
      <w:r w:rsidR="00573C6E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прибыли предпринимателя определяется на основе рыночной информации</w:t>
      </w:r>
      <w:r w:rsidR="00573C6E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методами экстракции, экспертных оценок или аналитических моделей с</w:t>
      </w:r>
      <w:r w:rsidR="00573C6E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учетом прямых, косвенных и в</w:t>
      </w:r>
      <w:r w:rsidR="00305A13">
        <w:rPr>
          <w:rFonts w:ascii="Times New Roman" w:hAnsi="Times New Roman" w:cs="Times New Roman"/>
          <w:sz w:val="24"/>
          <w:szCs w:val="24"/>
        </w:rPr>
        <w:t>р</w:t>
      </w:r>
      <w:r w:rsidRPr="00A431B2">
        <w:rPr>
          <w:rFonts w:ascii="Times New Roman" w:hAnsi="Times New Roman" w:cs="Times New Roman"/>
          <w:sz w:val="24"/>
          <w:szCs w:val="24"/>
        </w:rPr>
        <w:t>е</w:t>
      </w:r>
      <w:r w:rsidR="00305A13">
        <w:rPr>
          <w:rFonts w:ascii="Times New Roman" w:hAnsi="Times New Roman" w:cs="Times New Roman"/>
          <w:sz w:val="24"/>
          <w:szCs w:val="24"/>
        </w:rPr>
        <w:t>м</w:t>
      </w:r>
      <w:r w:rsidRPr="00A431B2">
        <w:rPr>
          <w:rFonts w:ascii="Times New Roman" w:hAnsi="Times New Roman" w:cs="Times New Roman"/>
          <w:sz w:val="24"/>
          <w:szCs w:val="24"/>
        </w:rPr>
        <w:t>енных издержек, связанных с созданием</w:t>
      </w:r>
      <w:r w:rsidR="00573C6E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объектов капитального строительства и приобретением прав на земельный</w:t>
      </w:r>
      <w:r w:rsidR="00B149D7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участок;</w:t>
      </w:r>
    </w:p>
    <w:p w14:paraId="6192E73F" w14:textId="378DBA98" w:rsid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 xml:space="preserve">и) величина износа и </w:t>
      </w:r>
      <w:proofErr w:type="spellStart"/>
      <w:r w:rsidRPr="00A431B2">
        <w:rPr>
          <w:rFonts w:ascii="Times New Roman" w:hAnsi="Times New Roman" w:cs="Times New Roman"/>
          <w:sz w:val="24"/>
          <w:szCs w:val="24"/>
        </w:rPr>
        <w:t>устареваний</w:t>
      </w:r>
      <w:proofErr w:type="spellEnd"/>
      <w:r w:rsidRPr="00A431B2">
        <w:rPr>
          <w:rFonts w:ascii="Times New Roman" w:hAnsi="Times New Roman" w:cs="Times New Roman"/>
          <w:sz w:val="24"/>
          <w:szCs w:val="24"/>
        </w:rPr>
        <w:t xml:space="preserve"> определяется как потеря стоимости недвижимости в результате физического износа, функционального и</w:t>
      </w:r>
      <w:r w:rsidR="00573C6E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 xml:space="preserve">внешнего (экономического) </w:t>
      </w:r>
      <w:proofErr w:type="spellStart"/>
      <w:r w:rsidRPr="00A431B2">
        <w:rPr>
          <w:rFonts w:ascii="Times New Roman" w:hAnsi="Times New Roman" w:cs="Times New Roman"/>
          <w:sz w:val="24"/>
          <w:szCs w:val="24"/>
        </w:rPr>
        <w:t>устареваний</w:t>
      </w:r>
      <w:proofErr w:type="spellEnd"/>
      <w:r w:rsidRPr="00A431B2">
        <w:rPr>
          <w:rFonts w:ascii="Times New Roman" w:hAnsi="Times New Roman" w:cs="Times New Roman"/>
          <w:sz w:val="24"/>
          <w:szCs w:val="24"/>
        </w:rPr>
        <w:t>. При этом износ и устаревания</w:t>
      </w:r>
      <w:r w:rsidR="00573C6E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относятся к объектам капитального строительства, относящимся к оцениваемой недвижимости.</w:t>
      </w:r>
      <w:r w:rsidR="003F2D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62D3E2" w14:textId="58047DE8" w:rsidR="007C1496" w:rsidRPr="007C1496" w:rsidRDefault="007F363B" w:rsidP="007C1496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363B">
        <w:rPr>
          <w:rFonts w:ascii="Times New Roman" w:hAnsi="Times New Roman" w:cs="Times New Roman"/>
          <w:color w:val="FF0000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946" w:rsidRPr="007F363B">
        <w:rPr>
          <w:rFonts w:ascii="Times New Roman" w:hAnsi="Times New Roman" w:cs="Times New Roman"/>
          <w:color w:val="FF0000"/>
          <w:sz w:val="24"/>
          <w:szCs w:val="24"/>
        </w:rPr>
        <w:t>Метод активов</w:t>
      </w:r>
      <w:r w:rsidR="007C1496">
        <w:rPr>
          <w:rFonts w:ascii="Times New Roman" w:hAnsi="Times New Roman" w:cs="Times New Roman"/>
          <w:color w:val="FF0000"/>
          <w:sz w:val="24"/>
          <w:szCs w:val="24"/>
        </w:rPr>
        <w:t xml:space="preserve"> используется для оценки организаций.</w:t>
      </w:r>
    </w:p>
    <w:p w14:paraId="36FAF242" w14:textId="1701785D" w:rsidR="007C1496" w:rsidRDefault="007C1496" w:rsidP="007C1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17F9D9" wp14:editId="58B32C00">
            <wp:extent cx="6507480" cy="5500717"/>
            <wp:effectExtent l="0" t="0" r="762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433" t="9890" r="21621" b="9048"/>
                    <a:stretch/>
                  </pic:blipFill>
                  <pic:spPr bwMode="auto">
                    <a:xfrm>
                      <a:off x="0" y="0"/>
                      <a:ext cx="6517052" cy="5508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33531" w14:textId="5E06B827" w:rsidR="007C1496" w:rsidRDefault="007C1496" w:rsidP="007C1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соответствии с ростом цен на них, эта индексация проводится усреднённо.</w:t>
      </w:r>
    </w:p>
    <w:p w14:paraId="14990BBE" w14:textId="0C193363" w:rsidR="00C53946" w:rsidRPr="007F363B" w:rsidRDefault="00C53946" w:rsidP="000E1430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363B">
        <w:rPr>
          <w:rFonts w:ascii="Times New Roman" w:hAnsi="Times New Roman" w:cs="Times New Roman"/>
          <w:color w:val="FF0000"/>
          <w:sz w:val="24"/>
          <w:szCs w:val="24"/>
        </w:rPr>
        <w:t>Метод расчета полной восстановительной стоимости и стоимости замещения.</w:t>
      </w:r>
    </w:p>
    <w:p w14:paraId="3FE66284" w14:textId="738DB931" w:rsidR="00EC7B8C" w:rsidRDefault="00C53946" w:rsidP="00EC7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625CDEA" wp14:editId="0BE1DA48">
            <wp:extent cx="6491941" cy="4353560"/>
            <wp:effectExtent l="0" t="0" r="444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990" t="14242" r="16662" b="9049"/>
                    <a:stretch/>
                  </pic:blipFill>
                  <pic:spPr bwMode="auto">
                    <a:xfrm>
                      <a:off x="0" y="0"/>
                      <a:ext cx="6505090" cy="4362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67002" w14:textId="4C5AAC67" w:rsidR="007C1496" w:rsidRDefault="007C1496" w:rsidP="000E14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6B525F" wp14:editId="4C17CA84">
            <wp:extent cx="5409227" cy="2835910"/>
            <wp:effectExtent l="0" t="0" r="127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547" t="22147" r="24161" b="19799"/>
                    <a:stretch/>
                  </pic:blipFill>
                  <pic:spPr bwMode="auto">
                    <a:xfrm>
                      <a:off x="0" y="0"/>
                      <a:ext cx="5419259" cy="2841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4C9FA" w14:textId="485A6803" w:rsidR="007C1496" w:rsidRDefault="007C1496" w:rsidP="007C14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- </w:t>
      </w:r>
      <w:r w:rsidRPr="007C1496">
        <w:rPr>
          <w:rFonts w:ascii="Times New Roman" w:hAnsi="Times New Roman" w:cs="Times New Roman"/>
          <w:sz w:val="24"/>
          <w:szCs w:val="24"/>
        </w:rPr>
        <w:t>Процесс формирования полной стоимости воспроизводства и полной стоимости замещения.</w:t>
      </w:r>
    </w:p>
    <w:p w14:paraId="0C5FEBFA" w14:textId="0B62A08F" w:rsidR="007C1496" w:rsidRDefault="007C1496" w:rsidP="005A21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1496">
        <w:rPr>
          <w:rFonts w:ascii="Times New Roman" w:hAnsi="Times New Roman" w:cs="Times New Roman"/>
          <w:sz w:val="24"/>
          <w:szCs w:val="24"/>
        </w:rPr>
        <w:t>Принципиальное отличие метода восстановительной стоимости по аналогам от методов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496">
        <w:rPr>
          <w:rFonts w:ascii="Times New Roman" w:hAnsi="Times New Roman" w:cs="Times New Roman"/>
          <w:sz w:val="24"/>
          <w:szCs w:val="24"/>
        </w:rPr>
        <w:t>восстановительной стоимости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496">
        <w:rPr>
          <w:rFonts w:ascii="Times New Roman" w:hAnsi="Times New Roman" w:cs="Times New Roman"/>
          <w:sz w:val="24"/>
          <w:szCs w:val="24"/>
        </w:rPr>
        <w:t>замещения состоит в оценке создания объекта в текущих ценах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496">
        <w:rPr>
          <w:rFonts w:ascii="Times New Roman" w:hAnsi="Times New Roman" w:cs="Times New Roman"/>
          <w:sz w:val="24"/>
          <w:szCs w:val="24"/>
        </w:rPr>
        <w:t>аналоговым способом.</w:t>
      </w:r>
    </w:p>
    <w:p w14:paraId="4AE33FB6" w14:textId="2CFED817" w:rsidR="007C1496" w:rsidRDefault="007C1496" w:rsidP="00EC7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7B4C7B7" wp14:editId="049E9A62">
            <wp:extent cx="6476197" cy="3315970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837" t="16492" r="16783" b="25819"/>
                    <a:stretch/>
                  </pic:blipFill>
                  <pic:spPr bwMode="auto">
                    <a:xfrm>
                      <a:off x="0" y="0"/>
                      <a:ext cx="6498658" cy="332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E2193" w14:textId="77777777" w:rsidR="007C1496" w:rsidRPr="00EC7B8C" w:rsidRDefault="007C1496" w:rsidP="00EC7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5E2EE9" w14:textId="668C6C6E" w:rsidR="00EC7B8C" w:rsidRPr="0016693D" w:rsidRDefault="00171E20" w:rsidP="001669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 4</w:t>
      </w:r>
      <w:r w:rsidR="00045C40" w:rsidRPr="0016693D">
        <w:rPr>
          <w:rFonts w:ascii="Times New Roman" w:hAnsi="Times New Roman" w:cs="Times New Roman"/>
          <w:b/>
          <w:sz w:val="24"/>
          <w:szCs w:val="24"/>
        </w:rPr>
        <w:t>.</w:t>
      </w:r>
      <w:r w:rsidR="00EC7B8C" w:rsidRPr="0016693D">
        <w:rPr>
          <w:rFonts w:ascii="Times New Roman" w:hAnsi="Times New Roman" w:cs="Times New Roman"/>
          <w:b/>
          <w:sz w:val="24"/>
          <w:szCs w:val="24"/>
        </w:rPr>
        <w:t xml:space="preserve"> Доходный  подход  к оценке стоимости недвижимости</w:t>
      </w:r>
      <w:r w:rsidR="004D7781">
        <w:rPr>
          <w:rFonts w:ascii="Times New Roman" w:hAnsi="Times New Roman" w:cs="Times New Roman"/>
          <w:b/>
          <w:sz w:val="24"/>
          <w:szCs w:val="24"/>
        </w:rPr>
        <w:t xml:space="preserve"> 4ч</w:t>
      </w:r>
    </w:p>
    <w:p w14:paraId="7953D924" w14:textId="0590FECB" w:rsidR="008D157A" w:rsidRPr="008D157A" w:rsidRDefault="0016693D" w:rsidP="0016225C">
      <w:pPr>
        <w:pStyle w:val="a4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157A">
        <w:rPr>
          <w:rFonts w:ascii="Times New Roman" w:hAnsi="Times New Roman" w:cs="Times New Roman"/>
          <w:color w:val="FF0000"/>
          <w:sz w:val="24"/>
          <w:szCs w:val="24"/>
        </w:rPr>
        <w:t xml:space="preserve">Сущность  подхода. </w:t>
      </w:r>
    </w:p>
    <w:p w14:paraId="4D74C4D8" w14:textId="77777777" w:rsidR="00FC563A" w:rsidRDefault="00FC563A" w:rsidP="0016225C">
      <w:pPr>
        <w:pStyle w:val="a4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157A">
        <w:rPr>
          <w:rFonts w:ascii="Times New Roman" w:hAnsi="Times New Roman" w:cs="Times New Roman"/>
          <w:color w:val="FF0000"/>
          <w:sz w:val="24"/>
          <w:szCs w:val="24"/>
        </w:rPr>
        <w:t xml:space="preserve">Метод дисконтирования денежных потоков. </w:t>
      </w:r>
    </w:p>
    <w:p w14:paraId="02137876" w14:textId="77777777" w:rsidR="006F1A74" w:rsidRDefault="0016693D" w:rsidP="0016225C">
      <w:pPr>
        <w:pStyle w:val="a4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157A">
        <w:rPr>
          <w:rFonts w:ascii="Times New Roman" w:hAnsi="Times New Roman" w:cs="Times New Roman"/>
          <w:color w:val="FF0000"/>
          <w:sz w:val="24"/>
          <w:szCs w:val="24"/>
        </w:rPr>
        <w:t>Метод капитализации постоянного дохода</w:t>
      </w:r>
      <w:r w:rsidR="00FC563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D15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C3A42AA" w14:textId="4000F6E6" w:rsidR="00EC7B8C" w:rsidRPr="008D157A" w:rsidRDefault="0016693D" w:rsidP="0016225C">
      <w:pPr>
        <w:pStyle w:val="a4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157A">
        <w:rPr>
          <w:rFonts w:ascii="Times New Roman" w:hAnsi="Times New Roman" w:cs="Times New Roman"/>
          <w:color w:val="FF0000"/>
          <w:sz w:val="24"/>
          <w:szCs w:val="24"/>
        </w:rPr>
        <w:t>Учет рисков бизнеса</w:t>
      </w:r>
    </w:p>
    <w:p w14:paraId="346ECBCC" w14:textId="233E517A" w:rsidR="00A431B2" w:rsidRDefault="008D157A" w:rsidP="00A431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63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431B2" w:rsidRPr="00FC563A">
        <w:rPr>
          <w:rFonts w:ascii="Times New Roman" w:hAnsi="Times New Roman" w:cs="Times New Roman"/>
          <w:b/>
          <w:sz w:val="24"/>
          <w:szCs w:val="24"/>
        </w:rPr>
        <w:t>Доходный подход</w:t>
      </w:r>
      <w:r w:rsidR="00A431B2" w:rsidRPr="00A431B2">
        <w:rPr>
          <w:rFonts w:ascii="Times New Roman" w:hAnsi="Times New Roman" w:cs="Times New Roman"/>
          <w:sz w:val="24"/>
          <w:szCs w:val="24"/>
        </w:rPr>
        <w:t xml:space="preserve"> применяется, когда существует достоверная информация, позволяющая прогнозировать будущие доходы, которые объект</w:t>
      </w:r>
      <w:r w:rsidR="00A431B2">
        <w:rPr>
          <w:rFonts w:ascii="Times New Roman" w:hAnsi="Times New Roman" w:cs="Times New Roman"/>
          <w:sz w:val="24"/>
          <w:szCs w:val="24"/>
        </w:rPr>
        <w:t xml:space="preserve"> </w:t>
      </w:r>
      <w:r w:rsidR="00A431B2" w:rsidRPr="00A431B2">
        <w:rPr>
          <w:rFonts w:ascii="Times New Roman" w:hAnsi="Times New Roman" w:cs="Times New Roman"/>
          <w:sz w:val="24"/>
          <w:szCs w:val="24"/>
        </w:rPr>
        <w:t>оценки способен приносить, а также связанные с объектом оценки расходы. При применении доходного подхода оценщик определяет величину</w:t>
      </w:r>
      <w:r w:rsidR="00A431B2">
        <w:rPr>
          <w:rFonts w:ascii="Times New Roman" w:hAnsi="Times New Roman" w:cs="Times New Roman"/>
          <w:sz w:val="24"/>
          <w:szCs w:val="24"/>
        </w:rPr>
        <w:t xml:space="preserve"> </w:t>
      </w:r>
      <w:r w:rsidR="00A431B2" w:rsidRPr="00A431B2">
        <w:rPr>
          <w:rFonts w:ascii="Times New Roman" w:hAnsi="Times New Roman" w:cs="Times New Roman"/>
          <w:sz w:val="24"/>
          <w:szCs w:val="24"/>
        </w:rPr>
        <w:t>будущих доходов и расходов и моменты их получения.</w:t>
      </w:r>
    </w:p>
    <w:p w14:paraId="176243E5" w14:textId="77777777" w:rsidR="00A431B2" w:rsidRPr="00A431B2" w:rsidRDefault="00A431B2" w:rsidP="006671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Применяя доходный подход к оценке, оценщик должен:</w:t>
      </w:r>
    </w:p>
    <w:p w14:paraId="2D0D49AA" w14:textId="36D089C3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а) установить период прогнозирования. Под периодом прогнозирования понимается период в будущем, на который от даты оценки производится прогнозирование количественных характеристик факторов, влияющих на величину будущих доходов;</w:t>
      </w:r>
    </w:p>
    <w:p w14:paraId="65F6AADD" w14:textId="7BA8BBED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б) исследовать способность объекта оценки приносить поток доходов в течение периода прогнозирования, а также сделать заключение о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способности объекта приносить поток доходов в период после периода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прогнозирования;</w:t>
      </w:r>
    </w:p>
    <w:p w14:paraId="0C3FD628" w14:textId="6F4BD710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в) определить ставку дисконтирования, отражающую доходность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вложений в сопоставимые с объектом оценки по уровню риска объекты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инвестирования, используемую для приведения будущих потоков доходов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к дате оценки;</w:t>
      </w:r>
    </w:p>
    <w:p w14:paraId="503EE3E9" w14:textId="41453DDC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г) осуществить процедуру приведения потока ожидаемых доходов в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период прогнозирования, а также доходов после периода прогнозирования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в стоимость на дату оценки.</w:t>
      </w:r>
    </w:p>
    <w:p w14:paraId="5DBCBEE6" w14:textId="29C1CAED" w:rsidR="00A431B2" w:rsidRPr="00A431B2" w:rsidRDefault="00A431B2" w:rsidP="006671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При применении доходного подхода оценщик учитывает следующие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положения:</w:t>
      </w:r>
    </w:p>
    <w:p w14:paraId="385306A0" w14:textId="0A92A81D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а) доходный подход применяется для оценки недвижимости, генерирующей или способной генерировать потоки доходов;</w:t>
      </w:r>
    </w:p>
    <w:p w14:paraId="62024C63" w14:textId="6359E714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б) в рамках доходного подхода стоимость недвижимости может определяться методом прямой капитализации, методом дисконтирования денежных потоков или методом капитализации по расчетным моделям;</w:t>
      </w:r>
    </w:p>
    <w:p w14:paraId="7B7755BD" w14:textId="23F37D61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в) метод прямой капитализации применяется для оценки объектов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недвижимости, не требующих значительных капитальных вложений в их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ремонт или реконструкцию, фактическое использование которых соответствует их наиболее эффективному использованию.</w:t>
      </w:r>
    </w:p>
    <w:p w14:paraId="1CBAB6B7" w14:textId="67FABB21" w:rsidR="00A431B2" w:rsidRPr="00A431B2" w:rsidRDefault="00A431B2" w:rsidP="006671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lastRenderedPageBreak/>
        <w:t>Определение стоимости объектов недвижимости с использованием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данного метода выполняется путем деления соответствующего рынку годового дохода от объекта на общую ставку капитализации, которая при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этом определяется на основе анализа рыночных данных о соотношениях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доходов и цен объектов недвижимости, аналогичных оцениваемому объекту;</w:t>
      </w:r>
    </w:p>
    <w:p w14:paraId="4A46D4AF" w14:textId="6AD7113E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г) метод дисконтирования денежных потоков применяется для оценки недвижимости, генерирующей или способной генерировать потоки доходов с произвольной динамикой их изменения во времени путем дисконтирования их по ставке, соответствующей доходности инвестиций в аналогичную недвижимость;</w:t>
      </w:r>
    </w:p>
    <w:p w14:paraId="0EB0ADBD" w14:textId="007E504E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д) метод капитализации по расчетным моделям применяется для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оценки недвижимости, генерирующей регулярные потоки доходов с ожидаемой динамикой их изменения. Капитализация таких доходов проводится по общей ставке капитализации, конструируемой на основе ставки дисконтирования, принимаемой в расчет модели возврата капитала, способов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и условий финансирования, а также ожидаемых изменений доходов и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стоимости недвижимости в будущем;</w:t>
      </w:r>
    </w:p>
    <w:p w14:paraId="08BCD22A" w14:textId="0AB24136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е) структура (учет налогов, возврата капитала, темпов изменения доходов и стоимости актива) используемых ставок дисконтирования и (или)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капитализации должна соответствовать структуре дисконтируемого (капитализируемого) дохода;</w:t>
      </w:r>
    </w:p>
    <w:p w14:paraId="33283051" w14:textId="700E61E8" w:rsidR="00A431B2" w:rsidRP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ж) для недвижимости, которую можно сдавать в аренду, в качестве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источника доходов следует рассматривать арендные платежи;</w:t>
      </w:r>
    </w:p>
    <w:p w14:paraId="6E297709" w14:textId="71DDDE80" w:rsidR="00A431B2" w:rsidRDefault="00A431B2" w:rsidP="00A43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з) оценка недвижимости, предназначенной для ведения определенного вида бизнеса (например, гостиницы, рестораны, автозаправочные станции), может проводиться на основании информации об операционной деятельности этого бизнеса путем выделения из его стоимости составляющих,</w:t>
      </w:r>
      <w:r w:rsidR="00667180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не относящихся к оцениваемой недвижимости.</w:t>
      </w:r>
    </w:p>
    <w:p w14:paraId="2CAE1338" w14:textId="77777777" w:rsidR="008611C7" w:rsidRPr="008611C7" w:rsidRDefault="008611C7" w:rsidP="00FC56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63A">
        <w:rPr>
          <w:rFonts w:ascii="Times New Roman" w:hAnsi="Times New Roman" w:cs="Times New Roman"/>
          <w:b/>
          <w:sz w:val="24"/>
          <w:szCs w:val="24"/>
        </w:rPr>
        <w:t>2. Метод дисконтирования денежных потоков</w:t>
      </w:r>
      <w:r w:rsidRPr="008611C7">
        <w:rPr>
          <w:rFonts w:ascii="Times New Roman" w:hAnsi="Times New Roman" w:cs="Times New Roman"/>
          <w:sz w:val="24"/>
          <w:szCs w:val="24"/>
        </w:rPr>
        <w:t xml:space="preserve"> основан на том, что текущая стоимость предприятия равна сумме его будущих денежных потоков, дисконтированных по опр. ставке соотв. рискам этого предприятия.</w:t>
      </w:r>
    </w:p>
    <w:p w14:paraId="2D242363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Прогноз продолжительности периода дисконтирования зависит от стабильности макроэкономической ситуации с учётом инфляции и политики налогообложения, стабильности отрасли, стабильности объекта оценки и опыта аналитика в составлении прогноза.</w:t>
      </w:r>
    </w:p>
    <w:p w14:paraId="5E6E50D9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Учитывая международную практику дисконтирования денежных потоков, период может составлять от 1 до 10 лет.</w:t>
      </w:r>
    </w:p>
    <w:p w14:paraId="49208466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Чем продолжительнее период прогноза, тем меньше влияние остаточной стоимости на текущую стоимость предприятия.</w:t>
      </w:r>
    </w:p>
    <w:p w14:paraId="7F8428A6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Существуют 2 точки зрения на возможную ставку дисконтирования. Одни аналитики предполагают использовать в качестве ставки дисконт</w:t>
      </w:r>
      <w:proofErr w:type="gramStart"/>
      <w:r w:rsidRPr="008611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611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1C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611C7">
        <w:rPr>
          <w:rFonts w:ascii="Times New Roman" w:hAnsi="Times New Roman" w:cs="Times New Roman"/>
          <w:sz w:val="24"/>
          <w:szCs w:val="24"/>
        </w:rPr>
        <w:t xml:space="preserve">редневзвешенную стоимость капитала, другие же высказываются за использование в качестве ставки – альтернативные издержки по инвестициям. </w:t>
      </w:r>
    </w:p>
    <w:p w14:paraId="0C186237" w14:textId="77777777" w:rsidR="008611C7" w:rsidRPr="008611C7" w:rsidRDefault="008611C7" w:rsidP="00FC56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63A">
        <w:rPr>
          <w:rFonts w:ascii="Times New Roman" w:hAnsi="Times New Roman" w:cs="Times New Roman"/>
          <w:b/>
          <w:sz w:val="24"/>
          <w:szCs w:val="24"/>
        </w:rPr>
        <w:t>3.</w:t>
      </w:r>
      <w:r w:rsidRPr="008611C7">
        <w:rPr>
          <w:rFonts w:ascii="Times New Roman" w:hAnsi="Times New Roman" w:cs="Times New Roman"/>
          <w:sz w:val="24"/>
          <w:szCs w:val="24"/>
        </w:rPr>
        <w:t xml:space="preserve"> Капитализация – данный метод применяется для оценки предприятий, которые имеют прибыльную историю хоз. деятельности, успели накопить активы и стабильно функционируют.</w:t>
      </w:r>
    </w:p>
    <w:p w14:paraId="1E7C9FD7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63A">
        <w:rPr>
          <w:rFonts w:ascii="Times New Roman" w:hAnsi="Times New Roman" w:cs="Times New Roman"/>
          <w:b/>
          <w:sz w:val="24"/>
          <w:szCs w:val="24"/>
        </w:rPr>
        <w:t>Метод капитализации дохода</w:t>
      </w:r>
      <w:r w:rsidRPr="008611C7">
        <w:rPr>
          <w:rFonts w:ascii="Times New Roman" w:hAnsi="Times New Roman" w:cs="Times New Roman"/>
          <w:sz w:val="24"/>
          <w:szCs w:val="24"/>
        </w:rPr>
        <w:t xml:space="preserve"> – оценка имущества за первый прогнозный год с учётом предположения, что величина дохода будет такой же и в последующие прогнозные годы.</w:t>
      </w:r>
    </w:p>
    <w:p w14:paraId="2E0CB600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Капитализация дохода – процесс, определяющий связь будущей и текущей стоимости оцениваемого объекта.</w:t>
      </w:r>
    </w:p>
    <w:p w14:paraId="38AEEF00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Данный метод вкл. в себя след. этапы:</w:t>
      </w:r>
    </w:p>
    <w:p w14:paraId="2A13940A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1)</w:t>
      </w:r>
      <w:r w:rsidRPr="008611C7">
        <w:rPr>
          <w:rFonts w:ascii="Times New Roman" w:hAnsi="Times New Roman" w:cs="Times New Roman"/>
          <w:sz w:val="24"/>
          <w:szCs w:val="24"/>
        </w:rPr>
        <w:tab/>
        <w:t>обоснование стабильности получения доходов на основе анализа финансовой отчётности (форма №2 «Отчёт о прибылях и убытках»)</w:t>
      </w:r>
    </w:p>
    <w:p w14:paraId="4C231095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2)</w:t>
      </w:r>
      <w:r w:rsidRPr="008611C7">
        <w:rPr>
          <w:rFonts w:ascii="Times New Roman" w:hAnsi="Times New Roman" w:cs="Times New Roman"/>
          <w:sz w:val="24"/>
          <w:szCs w:val="24"/>
        </w:rPr>
        <w:tab/>
        <w:t>выбор вида дохода, который будет капитализирован, в качестве которого могут быть выручка, чистая прибыль, прибыль до уплаты налогов и величина денежного потока</w:t>
      </w:r>
    </w:p>
    <w:p w14:paraId="784012DF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8611C7">
        <w:rPr>
          <w:rFonts w:ascii="Times New Roman" w:hAnsi="Times New Roman" w:cs="Times New Roman"/>
          <w:sz w:val="24"/>
          <w:szCs w:val="24"/>
        </w:rPr>
        <w:tab/>
        <w:t>определение величины капитализируемого дохода, в качестве которого могут быть выбраны величина дохода, спрогнозированная на 1 год после даты оценки и его величина на основе прогнозных данных.</w:t>
      </w:r>
    </w:p>
    <w:p w14:paraId="4D20E0AF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Определение размера прогнозируемого дохода осуществляется с помощью статистических форм по расчёту простой средней или средневзвешенной средней величины.</w:t>
      </w:r>
    </w:p>
    <w:p w14:paraId="0158742B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4)</w:t>
      </w:r>
      <w:r w:rsidRPr="008611C7">
        <w:rPr>
          <w:rFonts w:ascii="Times New Roman" w:hAnsi="Times New Roman" w:cs="Times New Roman"/>
          <w:sz w:val="24"/>
          <w:szCs w:val="24"/>
        </w:rPr>
        <w:tab/>
        <w:t>расчёт ставки капитализации. Данная ставка может устанавливаться оценщиком на основе изучения отрасли. Часто ставка выбирается на основе ставки дисконтирования, для этого из ставки дисконтирования вычитается темп роста капитализируемого дохода, а именно денежного потока или прибыли.</w:t>
      </w:r>
    </w:p>
    <w:p w14:paraId="396D39E3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5)</w:t>
      </w:r>
      <w:r w:rsidRPr="008611C7">
        <w:rPr>
          <w:rFonts w:ascii="Times New Roman" w:hAnsi="Times New Roman" w:cs="Times New Roman"/>
          <w:sz w:val="24"/>
          <w:szCs w:val="24"/>
        </w:rPr>
        <w:tab/>
        <w:t>капитализация доходов рассчитывается на основе применения 3ёх методов возврата инвестируемого капитала:</w:t>
      </w:r>
    </w:p>
    <w:p w14:paraId="2E529002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</w:r>
      <w:r w:rsidRPr="006F1A74">
        <w:rPr>
          <w:rFonts w:ascii="Times New Roman" w:hAnsi="Times New Roman" w:cs="Times New Roman"/>
          <w:b/>
          <w:sz w:val="24"/>
          <w:szCs w:val="24"/>
        </w:rPr>
        <w:t xml:space="preserve">метод </w:t>
      </w:r>
      <w:proofErr w:type="spellStart"/>
      <w:r w:rsidRPr="006F1A74">
        <w:rPr>
          <w:rFonts w:ascii="Times New Roman" w:hAnsi="Times New Roman" w:cs="Times New Roman"/>
          <w:b/>
          <w:sz w:val="24"/>
          <w:szCs w:val="24"/>
        </w:rPr>
        <w:t>Инвуда</w:t>
      </w:r>
      <w:proofErr w:type="spellEnd"/>
      <w:r w:rsidRPr="008611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1C7">
        <w:rPr>
          <w:rFonts w:ascii="Times New Roman" w:hAnsi="Times New Roman" w:cs="Times New Roman"/>
          <w:sz w:val="24"/>
          <w:szCs w:val="24"/>
        </w:rPr>
        <w:t>применяется</w:t>
      </w:r>
      <w:proofErr w:type="gramEnd"/>
      <w:r w:rsidRPr="008611C7">
        <w:rPr>
          <w:rFonts w:ascii="Times New Roman" w:hAnsi="Times New Roman" w:cs="Times New Roman"/>
          <w:sz w:val="24"/>
          <w:szCs w:val="24"/>
        </w:rPr>
        <w:t xml:space="preserve"> если ожидается, что в течение всего прогнозного периода будут получены постоянные и равновеликие доходы. Иногда этот метод называют равномерно-</w:t>
      </w:r>
      <w:proofErr w:type="spellStart"/>
      <w:r w:rsidRPr="008611C7">
        <w:rPr>
          <w:rFonts w:ascii="Times New Roman" w:hAnsi="Times New Roman" w:cs="Times New Roman"/>
          <w:sz w:val="24"/>
          <w:szCs w:val="24"/>
        </w:rPr>
        <w:t>аннуитентным</w:t>
      </w:r>
      <w:proofErr w:type="spellEnd"/>
      <w:r w:rsidRPr="008611C7">
        <w:rPr>
          <w:rFonts w:ascii="Times New Roman" w:hAnsi="Times New Roman" w:cs="Times New Roman"/>
          <w:sz w:val="24"/>
          <w:szCs w:val="24"/>
        </w:rPr>
        <w:t xml:space="preserve"> возмещение капитала</w:t>
      </w:r>
    </w:p>
    <w:p w14:paraId="306B7A2A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</w:r>
      <w:r w:rsidRPr="006F1A74">
        <w:rPr>
          <w:rFonts w:ascii="Times New Roman" w:hAnsi="Times New Roman" w:cs="Times New Roman"/>
          <w:b/>
          <w:sz w:val="24"/>
          <w:szCs w:val="24"/>
        </w:rPr>
        <w:t>метод Ринга</w:t>
      </w:r>
      <w:r w:rsidRPr="008611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1C7">
        <w:rPr>
          <w:rFonts w:ascii="Times New Roman" w:hAnsi="Times New Roman" w:cs="Times New Roman"/>
          <w:sz w:val="24"/>
          <w:szCs w:val="24"/>
        </w:rPr>
        <w:t>применяется</w:t>
      </w:r>
      <w:proofErr w:type="gramEnd"/>
      <w:r w:rsidRPr="008611C7">
        <w:rPr>
          <w:rFonts w:ascii="Times New Roman" w:hAnsi="Times New Roman" w:cs="Times New Roman"/>
          <w:sz w:val="24"/>
          <w:szCs w:val="24"/>
        </w:rPr>
        <w:t xml:space="preserve"> если ожидается снижение потока доходов, а возврат основной суммы будет </w:t>
      </w:r>
      <w:proofErr w:type="spellStart"/>
      <w:r w:rsidRPr="008611C7">
        <w:rPr>
          <w:rFonts w:ascii="Times New Roman" w:hAnsi="Times New Roman" w:cs="Times New Roman"/>
          <w:sz w:val="24"/>
          <w:szCs w:val="24"/>
        </w:rPr>
        <w:t>осущ</w:t>
      </w:r>
      <w:proofErr w:type="spellEnd"/>
      <w:r w:rsidRPr="008611C7">
        <w:rPr>
          <w:rFonts w:ascii="Times New Roman" w:hAnsi="Times New Roman" w:cs="Times New Roman"/>
          <w:sz w:val="24"/>
          <w:szCs w:val="24"/>
        </w:rPr>
        <w:t>. равными долями.</w:t>
      </w:r>
    </w:p>
    <w:p w14:paraId="263A6424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</w:r>
      <w:r w:rsidRPr="006F1A74">
        <w:rPr>
          <w:rFonts w:ascii="Times New Roman" w:hAnsi="Times New Roman" w:cs="Times New Roman"/>
          <w:b/>
          <w:sz w:val="24"/>
          <w:szCs w:val="24"/>
        </w:rPr>
        <w:t xml:space="preserve">метод </w:t>
      </w:r>
      <w:proofErr w:type="spellStart"/>
      <w:r w:rsidRPr="006F1A74">
        <w:rPr>
          <w:rFonts w:ascii="Times New Roman" w:hAnsi="Times New Roman" w:cs="Times New Roman"/>
          <w:b/>
          <w:sz w:val="24"/>
          <w:szCs w:val="24"/>
        </w:rPr>
        <w:t>Хоскольда</w:t>
      </w:r>
      <w:proofErr w:type="spellEnd"/>
      <w:r w:rsidRPr="008611C7">
        <w:rPr>
          <w:rFonts w:ascii="Times New Roman" w:hAnsi="Times New Roman" w:cs="Times New Roman"/>
          <w:sz w:val="24"/>
          <w:szCs w:val="24"/>
        </w:rPr>
        <w:t xml:space="preserve"> применяют тогда, когда ставка дохода, приносящего первоначальные инвестиции настолько высока, что предполагается получение дохода по безрисковой ставке</w:t>
      </w:r>
    </w:p>
    <w:p w14:paraId="29208C7A" w14:textId="77777777" w:rsidR="008611C7" w:rsidRPr="008611C7" w:rsidRDefault="008611C7" w:rsidP="00FC56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63A">
        <w:rPr>
          <w:rFonts w:ascii="Times New Roman" w:hAnsi="Times New Roman" w:cs="Times New Roman"/>
          <w:b/>
          <w:sz w:val="24"/>
          <w:szCs w:val="24"/>
        </w:rPr>
        <w:t>4.</w:t>
      </w:r>
      <w:r w:rsidRPr="008611C7">
        <w:rPr>
          <w:rFonts w:ascii="Times New Roman" w:hAnsi="Times New Roman" w:cs="Times New Roman"/>
          <w:sz w:val="24"/>
          <w:szCs w:val="24"/>
        </w:rPr>
        <w:t xml:space="preserve"> Все риски бизнеса подразделяют на 2 группы:</w:t>
      </w:r>
    </w:p>
    <w:p w14:paraId="60B9DE2A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1)</w:t>
      </w:r>
      <w:r w:rsidRPr="008611C7">
        <w:rPr>
          <w:rFonts w:ascii="Times New Roman" w:hAnsi="Times New Roman" w:cs="Times New Roman"/>
          <w:sz w:val="24"/>
          <w:szCs w:val="24"/>
        </w:rPr>
        <w:tab/>
        <w:t xml:space="preserve">систематические – внешние риски бизнеса, на которые влияет внешняя среда (прямого и косвенного воздействия). Внешняя среда прямого воздействия – элементы инфраструктуры бизнеса, непосредственно влияющих на </w:t>
      </w:r>
      <w:proofErr w:type="spellStart"/>
      <w:r w:rsidRPr="008611C7">
        <w:rPr>
          <w:rFonts w:ascii="Times New Roman" w:hAnsi="Times New Roman" w:cs="Times New Roman"/>
          <w:sz w:val="24"/>
          <w:szCs w:val="24"/>
        </w:rPr>
        <w:t>дея-ть</w:t>
      </w:r>
      <w:proofErr w:type="spellEnd"/>
      <w:r w:rsidRPr="008611C7">
        <w:rPr>
          <w:rFonts w:ascii="Times New Roman" w:hAnsi="Times New Roman" w:cs="Times New Roman"/>
          <w:sz w:val="24"/>
          <w:szCs w:val="24"/>
        </w:rPr>
        <w:t xml:space="preserve"> предприятия: поставщики, конкуренты, потребители, партнёры (каждый из перечисленных может являться для предприятия положительным фактором или фактором риска). Внешнюю среду косвенного воздействия можно представить как систему, включающую в себя:</w:t>
      </w:r>
    </w:p>
    <w:p w14:paraId="558CD3CA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  <w:t>факторы окружающей среды,</w:t>
      </w:r>
    </w:p>
    <w:p w14:paraId="16A5C0C1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  <w:t>политические факторы,</w:t>
      </w:r>
    </w:p>
    <w:p w14:paraId="6FE073D1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  <w:t>правовые факторы,</w:t>
      </w:r>
    </w:p>
    <w:p w14:paraId="10C8129D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  <w:t>экономические,</w:t>
      </w:r>
    </w:p>
    <w:p w14:paraId="667EC3E9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  <w:t>технологические,</w:t>
      </w:r>
    </w:p>
    <w:p w14:paraId="282EA84C" w14:textId="77777777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  <w:t>социальные.</w:t>
      </w:r>
    </w:p>
    <w:p w14:paraId="20FB3F9B" w14:textId="7EF36795" w:rsidR="008611C7" w:rsidRPr="008611C7" w:rsidRDefault="008611C7" w:rsidP="008611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2)</w:t>
      </w:r>
      <w:r w:rsidRPr="008611C7">
        <w:rPr>
          <w:rFonts w:ascii="Times New Roman" w:hAnsi="Times New Roman" w:cs="Times New Roman"/>
          <w:sz w:val="24"/>
          <w:szCs w:val="24"/>
        </w:rPr>
        <w:tab/>
      </w:r>
      <w:r w:rsidR="00FC563A">
        <w:rPr>
          <w:rFonts w:ascii="Times New Roman" w:hAnsi="Times New Roman" w:cs="Times New Roman"/>
          <w:sz w:val="24"/>
          <w:szCs w:val="24"/>
        </w:rPr>
        <w:t>Н</w:t>
      </w:r>
      <w:r w:rsidRPr="008611C7">
        <w:rPr>
          <w:rFonts w:ascii="Times New Roman" w:hAnsi="Times New Roman" w:cs="Times New Roman"/>
          <w:sz w:val="24"/>
          <w:szCs w:val="24"/>
        </w:rPr>
        <w:t>есистематические – внутренние риски бизнеса, определяемые:</w:t>
      </w:r>
    </w:p>
    <w:p w14:paraId="61C3E889" w14:textId="77777777" w:rsidR="008611C7" w:rsidRPr="008611C7" w:rsidRDefault="008611C7" w:rsidP="00FC563A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  <w:t>уровнем организации бизнеса</w:t>
      </w:r>
    </w:p>
    <w:p w14:paraId="33BCB7B2" w14:textId="77777777" w:rsidR="008611C7" w:rsidRPr="008611C7" w:rsidRDefault="008611C7" w:rsidP="00FC563A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  <w:t xml:space="preserve">системой управления и правового обеспечения </w:t>
      </w:r>
      <w:proofErr w:type="spellStart"/>
      <w:r w:rsidRPr="008611C7">
        <w:rPr>
          <w:rFonts w:ascii="Times New Roman" w:hAnsi="Times New Roman" w:cs="Times New Roman"/>
          <w:sz w:val="24"/>
          <w:szCs w:val="24"/>
        </w:rPr>
        <w:t>дея-ти</w:t>
      </w:r>
      <w:proofErr w:type="spellEnd"/>
      <w:r w:rsidRPr="008611C7"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14:paraId="5F6BFA7E" w14:textId="69DFFF07" w:rsidR="00A431B2" w:rsidRDefault="008611C7" w:rsidP="00FC563A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11C7">
        <w:rPr>
          <w:rFonts w:ascii="Times New Roman" w:hAnsi="Times New Roman" w:cs="Times New Roman"/>
          <w:sz w:val="24"/>
          <w:szCs w:val="24"/>
        </w:rPr>
        <w:t>•</w:t>
      </w:r>
      <w:r w:rsidRPr="008611C7">
        <w:rPr>
          <w:rFonts w:ascii="Times New Roman" w:hAnsi="Times New Roman" w:cs="Times New Roman"/>
          <w:sz w:val="24"/>
          <w:szCs w:val="24"/>
        </w:rPr>
        <w:tab/>
        <w:t xml:space="preserve">наличием </w:t>
      </w:r>
      <w:proofErr w:type="spellStart"/>
      <w:r w:rsidRPr="008611C7">
        <w:rPr>
          <w:rFonts w:ascii="Times New Roman" w:hAnsi="Times New Roman" w:cs="Times New Roman"/>
          <w:sz w:val="24"/>
          <w:szCs w:val="24"/>
        </w:rPr>
        <w:t>фин</w:t>
      </w:r>
      <w:proofErr w:type="spellEnd"/>
      <w:r w:rsidRPr="008611C7">
        <w:rPr>
          <w:rFonts w:ascii="Times New Roman" w:hAnsi="Times New Roman" w:cs="Times New Roman"/>
          <w:sz w:val="24"/>
          <w:szCs w:val="24"/>
        </w:rPr>
        <w:t xml:space="preserve"> ресурсов и производственной базы</w:t>
      </w:r>
    </w:p>
    <w:p w14:paraId="1BE16552" w14:textId="77777777" w:rsidR="001D1088" w:rsidRPr="001D1088" w:rsidRDefault="001D1088" w:rsidP="001D10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1D1088">
        <w:rPr>
          <w:rFonts w:ascii="Times New Roman" w:hAnsi="Times New Roman" w:cs="Times New Roman"/>
          <w:b/>
          <w:bCs/>
          <w:sz w:val="28"/>
          <w:szCs w:val="24"/>
        </w:rPr>
        <w:t>Капитализация</w:t>
      </w:r>
      <w:r w:rsidRPr="001D1088">
        <w:rPr>
          <w:rFonts w:ascii="Times New Roman" w:hAnsi="Times New Roman" w:cs="Times New Roman"/>
          <w:sz w:val="28"/>
          <w:szCs w:val="24"/>
        </w:rPr>
        <w:t xml:space="preserve"> – это преобразование средств (части чистой прибыли, дивидендов и т. д. или всей прибыли) в добавочный капитал, добавочные факторы производства (средства труда, предметы труда, рабочая сила и прочее), в результате чего достигается увеличение размера собственных средств. Ставка капитализации (коэффициент капитализации) – это отношение рыночной стоимости актива к чистому доходу за год.</w:t>
      </w:r>
    </w:p>
    <w:p w14:paraId="521C3911" w14:textId="52F9AD91" w:rsidR="00EC7B8C" w:rsidRPr="001D1088" w:rsidRDefault="001D1088" w:rsidP="001D10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1D1088">
        <w:rPr>
          <w:rFonts w:ascii="Times New Roman" w:hAnsi="Times New Roman" w:cs="Times New Roman"/>
          <w:b/>
          <w:bCs/>
          <w:sz w:val="28"/>
          <w:szCs w:val="24"/>
        </w:rPr>
        <w:t>Дисконтирование</w:t>
      </w:r>
      <w:r w:rsidRPr="001D1088">
        <w:rPr>
          <w:rFonts w:ascii="Times New Roman" w:hAnsi="Times New Roman" w:cs="Times New Roman"/>
          <w:sz w:val="28"/>
          <w:szCs w:val="24"/>
        </w:rPr>
        <w:t xml:space="preserve"> – это определение стоимости денежного потока путем приведения стоимости всех выплат к определённому моменту времени.</w:t>
      </w:r>
    </w:p>
    <w:p w14:paraId="5F3ADC45" w14:textId="77777777" w:rsidR="001D1088" w:rsidRDefault="001D1088" w:rsidP="001D10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A503E8" w14:textId="77777777" w:rsidR="00171E20" w:rsidRDefault="00171E20" w:rsidP="001D10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939DF8" w14:textId="77777777" w:rsidR="00171E20" w:rsidRDefault="00171E20" w:rsidP="001D10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70212D3D" w14:textId="77777777" w:rsidR="001D1088" w:rsidRPr="00EC7B8C" w:rsidRDefault="001D1088" w:rsidP="001D10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C61BB1" w14:textId="631DB491" w:rsidR="00EC7B8C" w:rsidRPr="0016693D" w:rsidRDefault="00171E20" w:rsidP="001669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№ 5</w:t>
      </w:r>
      <w:r w:rsidR="00045C40" w:rsidRPr="0016693D">
        <w:rPr>
          <w:rFonts w:ascii="Times New Roman" w:hAnsi="Times New Roman" w:cs="Times New Roman"/>
          <w:b/>
          <w:sz w:val="24"/>
          <w:szCs w:val="24"/>
        </w:rPr>
        <w:t>.</w:t>
      </w:r>
      <w:r w:rsidR="00EC7B8C" w:rsidRPr="0016693D">
        <w:rPr>
          <w:rFonts w:ascii="Times New Roman" w:hAnsi="Times New Roman" w:cs="Times New Roman"/>
          <w:b/>
          <w:sz w:val="24"/>
          <w:szCs w:val="24"/>
        </w:rPr>
        <w:t xml:space="preserve"> Сравнительный  подход  к оценке стоимости недвижимости</w:t>
      </w:r>
      <w:r w:rsidR="004D7781">
        <w:rPr>
          <w:rFonts w:ascii="Times New Roman" w:hAnsi="Times New Roman" w:cs="Times New Roman"/>
          <w:b/>
          <w:sz w:val="24"/>
          <w:szCs w:val="24"/>
        </w:rPr>
        <w:t xml:space="preserve"> 4ч</w:t>
      </w:r>
    </w:p>
    <w:p w14:paraId="0E2118F7" w14:textId="0238B2FF" w:rsidR="007F646A" w:rsidRPr="00411926" w:rsidRDefault="0016693D" w:rsidP="00EC7B8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926">
        <w:rPr>
          <w:rFonts w:ascii="Times New Roman" w:hAnsi="Times New Roman" w:cs="Times New Roman"/>
          <w:color w:val="FF0000"/>
          <w:sz w:val="24"/>
          <w:szCs w:val="24"/>
        </w:rPr>
        <w:t>Сущность  подхода.  Метод рынка капитала. Метод сделок</w:t>
      </w:r>
      <w:r w:rsidR="0098537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411926">
        <w:rPr>
          <w:rFonts w:ascii="Times New Roman" w:hAnsi="Times New Roman" w:cs="Times New Roman"/>
          <w:color w:val="FF0000"/>
          <w:sz w:val="24"/>
          <w:szCs w:val="24"/>
        </w:rPr>
        <w:t xml:space="preserve"> Метод отраслевых соотношений</w:t>
      </w:r>
    </w:p>
    <w:p w14:paraId="35BE8A8B" w14:textId="4E756FEE" w:rsidR="00A431B2" w:rsidRPr="00A431B2" w:rsidRDefault="008D157A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431B2" w:rsidRPr="00A431B2">
        <w:rPr>
          <w:rFonts w:ascii="Times New Roman" w:hAnsi="Times New Roman" w:cs="Times New Roman"/>
          <w:sz w:val="24"/>
          <w:szCs w:val="24"/>
        </w:rPr>
        <w:t>Сравнительный подход применяется, когда существует достоверная</w:t>
      </w:r>
      <w:r w:rsidR="00411926">
        <w:rPr>
          <w:rFonts w:ascii="Times New Roman" w:hAnsi="Times New Roman" w:cs="Times New Roman"/>
          <w:sz w:val="24"/>
          <w:szCs w:val="24"/>
        </w:rPr>
        <w:t xml:space="preserve"> </w:t>
      </w:r>
      <w:r w:rsidR="00A431B2" w:rsidRPr="00A431B2">
        <w:rPr>
          <w:rFonts w:ascii="Times New Roman" w:hAnsi="Times New Roman" w:cs="Times New Roman"/>
          <w:sz w:val="24"/>
          <w:szCs w:val="24"/>
        </w:rPr>
        <w:t>и доступная для анализа информация о ценах и характеристиках объектов-аналогов.</w:t>
      </w:r>
    </w:p>
    <w:p w14:paraId="69D5C10C" w14:textId="77777777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Применяя сравнительный подход к оценке, оценщик должен:</w:t>
      </w:r>
    </w:p>
    <w:p w14:paraId="0C4A5FA3" w14:textId="2ECBBAFF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а) выбрать единицы сравнения и провести сравнительный анализ</w:t>
      </w:r>
      <w:r w:rsidR="00411926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объекта оценки и каждого объекта-аналога по всем элементам сравнения.</w:t>
      </w:r>
      <w:r w:rsidR="00411926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По каждому объекту-аналогу может быть выбрано несколько единиц сравнения. Выбор единиц сравнения должен быть обоснован оценщиком.</w:t>
      </w:r>
    </w:p>
    <w:p w14:paraId="24470226" w14:textId="5871EF10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Оценщик должен обосновать отказ от использования других единиц сравнения, принятых при проведении оценки и связанных с факторами спроса</w:t>
      </w:r>
      <w:r w:rsidR="00411926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и предложения;</w:t>
      </w:r>
    </w:p>
    <w:p w14:paraId="6C0F250E" w14:textId="05FADA0E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б) скорректировать значения единицы сравнения для объектов-аналогов по каждому элементу сравнения в зависимости от соотношения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характеристик объекта оценки и объекта-аналога по данному элементу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сравнения.</w:t>
      </w:r>
    </w:p>
    <w:p w14:paraId="0B269C16" w14:textId="3A8513B1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 xml:space="preserve">Корректировка (поправка) – это прибавляемая или вычитаемая сумма, </w:t>
      </w:r>
      <w:r w:rsidR="008D157A" w:rsidRPr="00A431B2">
        <w:rPr>
          <w:rFonts w:ascii="Times New Roman" w:hAnsi="Times New Roman" w:cs="Times New Roman"/>
          <w:sz w:val="24"/>
          <w:szCs w:val="24"/>
        </w:rPr>
        <w:t>учитывающая</w:t>
      </w:r>
      <w:r w:rsidRPr="00A431B2">
        <w:rPr>
          <w:rFonts w:ascii="Times New Roman" w:hAnsi="Times New Roman" w:cs="Times New Roman"/>
          <w:sz w:val="24"/>
          <w:szCs w:val="24"/>
        </w:rPr>
        <w:t xml:space="preserve"> различия </w:t>
      </w:r>
      <w:proofErr w:type="spellStart"/>
      <w:r w:rsidRPr="00A431B2">
        <w:rPr>
          <w:rFonts w:ascii="Times New Roman" w:hAnsi="Times New Roman" w:cs="Times New Roman"/>
          <w:sz w:val="24"/>
          <w:szCs w:val="24"/>
        </w:rPr>
        <w:t>медлу</w:t>
      </w:r>
      <w:proofErr w:type="spellEnd"/>
      <w:r w:rsidRPr="00A431B2">
        <w:rPr>
          <w:rFonts w:ascii="Times New Roman" w:hAnsi="Times New Roman" w:cs="Times New Roman"/>
          <w:sz w:val="24"/>
          <w:szCs w:val="24"/>
        </w:rPr>
        <w:t xml:space="preserve"> оцениваемым и сопоставимыми (аналогичными) объектами недвижимости. Поправки могут быть стоимостными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(денежными) и процентными (ко</w:t>
      </w:r>
      <w:r w:rsidR="008D157A">
        <w:rPr>
          <w:rFonts w:ascii="Times New Roman" w:hAnsi="Times New Roman" w:cs="Times New Roman"/>
          <w:sz w:val="24"/>
          <w:szCs w:val="24"/>
        </w:rPr>
        <w:t>э</w:t>
      </w:r>
      <w:r w:rsidRPr="00A431B2">
        <w:rPr>
          <w:rFonts w:ascii="Times New Roman" w:hAnsi="Times New Roman" w:cs="Times New Roman"/>
          <w:sz w:val="24"/>
          <w:szCs w:val="24"/>
        </w:rPr>
        <w:t>ффициентными).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Стоимостные поправки могут быть двух видов:</w:t>
      </w:r>
    </w:p>
    <w:p w14:paraId="37FE53A0" w14:textId="709B2482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1) денежные поправки, вносимые к единице сравнения (например,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1м2). Они изменяют цену объекта-аналога на ту сумму, в которую оценивается различие в характеристиках оцениваемого и аналогичного объектов.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Поправка будет положительная, если оцениваемый объект лучше аналога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и отрицательная, если хуже;</w:t>
      </w:r>
    </w:p>
    <w:p w14:paraId="60EDC9EE" w14:textId="7085FE73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 xml:space="preserve">2) денежные поправки, вносимые к цене проданного </w:t>
      </w:r>
      <w:r w:rsidR="008D157A" w:rsidRPr="00A431B2">
        <w:rPr>
          <w:rFonts w:ascii="Times New Roman" w:hAnsi="Times New Roman" w:cs="Times New Roman"/>
          <w:sz w:val="24"/>
          <w:szCs w:val="24"/>
        </w:rPr>
        <w:t>объекта</w:t>
      </w:r>
      <w:r w:rsidRPr="00A431B2">
        <w:rPr>
          <w:rFonts w:ascii="Times New Roman" w:hAnsi="Times New Roman" w:cs="Times New Roman"/>
          <w:sz w:val="24"/>
          <w:szCs w:val="24"/>
        </w:rPr>
        <w:t>-аналога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в целом (например, в случае наличия или отсутствия улучшений земельного участка).</w:t>
      </w:r>
    </w:p>
    <w:p w14:paraId="020FBD17" w14:textId="4C849064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Процентные поправки вносятся путем умножения цены продажи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объекта-аналога или его единицы сравнения на коэффициент, который отражает степень различий в характеристиках аналогичного и оцениваемого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объекта. Если оцениваемый объект лучше аналога, то к цене сопоставимого объекта применяется положительный коэффициент, если хуже – понижающий.</w:t>
      </w:r>
    </w:p>
    <w:p w14:paraId="33781EAE" w14:textId="62472A41" w:rsidR="00DC1F8A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При внесении корректировок оценщик должен ввести и обосновать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шкалу корректировок и привести объяснение того, при каких условиях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значения введенных корректировок будут иными. Шкала и процедура корректирования единицы сравнения не должны меняться от одного объекта-аналога к другому;</w:t>
      </w:r>
    </w:p>
    <w:p w14:paraId="5A7651A0" w14:textId="118F8F8D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в) согласовать результаты корректирования значений единиц сравнения по выбранным объектам-аналогам. Оценщик должен обосновать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схему согласования скорректированных значений единиц сравнения и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скорректированных цен объектов-аналогов.</w:t>
      </w:r>
    </w:p>
    <w:p w14:paraId="3E71B715" w14:textId="719BC210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При применении сравнительного подхода к оценке недвижимости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оценщик учитывает следующие положения:</w:t>
      </w:r>
    </w:p>
    <w:p w14:paraId="17E7C98E" w14:textId="5DE91CE3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а) сравнительный подход применяется для оценки недвижимости,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когда можно подобрать достаточное для оценки количество объектов-аналогов с известными ценами сделок и (или) предложений;</w:t>
      </w:r>
    </w:p>
    <w:p w14:paraId="1012531B" w14:textId="6D376E84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б) в качестве объектов-аналогов используются объекты недвижимости, которые относятся к одному с оцениваемым объектом сегменту рынка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и сопоставимы с ним по ценообразующим факторам. При этом для всех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объектов недвижимости, включая оцениваемый, ценообразование по каждому из указанных факторов должно быть единообразным;</w:t>
      </w:r>
    </w:p>
    <w:p w14:paraId="54B9C258" w14:textId="27A53D07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в) при проведении оценки должны быть описаны объем доступных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оценщику рыночных данных об объектах-аналогах и правила их отбора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для проведения расчетов. Использование в расчетах лишь части доступных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оценщику объектов-аналогов должно быть обосновано в отчете об оценке;</w:t>
      </w:r>
    </w:p>
    <w:p w14:paraId="36951663" w14:textId="21B5085B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lastRenderedPageBreak/>
        <w:t>г) для выполнения расчетов используются типичные для аналогичного объекта сложившиеся на рынке оцениваемого объекта удельные показатели стоимости (единицы сравнения), в частности цена или арендная плата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за единицу площади или единицу объема;</w:t>
      </w:r>
    </w:p>
    <w:p w14:paraId="6BA7DF6D" w14:textId="0BA8E377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д) в зависимости от имеющейся на рынке исходной информации в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процессе оценки недвижимости могут использоваться качественные методы оценки (относительный сравнительный анализ, метод экспертных оценок и другие методы), количественные методы оценки (метод регрессионного анализа, метод количественных корректировок и другие методы), а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также их сочетания.</w:t>
      </w:r>
    </w:p>
    <w:p w14:paraId="640B8BE9" w14:textId="16372D20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При применении качественных методов оценка недвижимости выполняется путем изучения взаимосвязей, выявляемых на основе анализа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цен сделок и (или) предложений с объектами-аналогами или соответствующей информации, полученной от экспертов, и использования этих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взаимосвязей для проведения оценки в соответствии с технологией выбранного для оценки метода.</w:t>
      </w:r>
    </w:p>
    <w:p w14:paraId="5AF5ACB8" w14:textId="42D0E676" w:rsid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При применении метода корректировок каждый объект-аналог сравнивается с объектом оценки по ценообразующим факторам (элементам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сравнения), выявляются различия объектов по этим факторам и цена объекта-аналога или ее удельный показатель корректируется по выявленным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различиям с целью дальнейшего определения стоимости объекта оценки.</w:t>
      </w:r>
    </w:p>
    <w:p w14:paraId="0409E784" w14:textId="46649962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При этом корректировка по каждому элементу сравнения основывается на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принципе вклада этого элемента в стоимость объекта.</w:t>
      </w:r>
    </w:p>
    <w:p w14:paraId="03CB4DDA" w14:textId="3D8FC6C7" w:rsid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Традиционно выделяют девять основных групп элементов сравнения. В таблице 1 приведен перечень элементов сравнения, рекомендуемых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к использованию в анализе рыночных данных.</w:t>
      </w:r>
    </w:p>
    <w:p w14:paraId="3F87681D" w14:textId="00DAE22E" w:rsidR="00A431B2" w:rsidRDefault="008D157A" w:rsidP="008D15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431B2">
        <w:rPr>
          <w:noProof/>
          <w:lang w:eastAsia="ru-RU"/>
        </w:rPr>
        <w:drawing>
          <wp:inline distT="0" distB="0" distL="0" distR="0" wp14:anchorId="6480B10A" wp14:editId="2337A7B9">
            <wp:extent cx="6304906" cy="6896745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859" t="13411" r="31224" b="11559"/>
                    <a:stretch/>
                  </pic:blipFill>
                  <pic:spPr bwMode="auto">
                    <a:xfrm>
                      <a:off x="0" y="0"/>
                      <a:ext cx="6357108" cy="6953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02D8B" w14:textId="2022F789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По этим группам элементов сравнения производятся корректировки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двух видов: последовательные (кумулятивные) и независимые.</w:t>
      </w:r>
    </w:p>
    <w:p w14:paraId="7C986BB0" w14:textId="476DB184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На кумулятивной основе корректировки проводятся в том случае,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если оценщик определил, что каждая поправка влияет на другие. На независимой основе корректировки вносятся тогда, когда точно установлено,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что покупатели на рынке будут оценивать корректировочные характеристики независимо друг от друга.</w:t>
      </w:r>
    </w:p>
    <w:p w14:paraId="20C8D19F" w14:textId="284F21A9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При применении методов регрессионного анализа оценщик, используя данные сегмента рынка оцениваемого объекта, конструирует модель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ценообразования, соответствующую рынку этого объекта, по которой определяет расчетное значение искомой стоимости;</w:t>
      </w:r>
    </w:p>
    <w:p w14:paraId="75D6508D" w14:textId="4A258EC8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е) для сравнения объекта оценки с другими объектами недвижимости, с которыми были совершены сделки или которые представлены на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рынке для их совершения, обычно используются следующие элементы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сравнения:</w:t>
      </w:r>
    </w:p>
    <w:p w14:paraId="723D1CB1" w14:textId="3B5CFD15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передаваемые имущественные права, ограничения (обременения)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этих прав;</w:t>
      </w:r>
    </w:p>
    <w:p w14:paraId="08380583" w14:textId="24717811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lastRenderedPageBreak/>
        <w:t>- условия финансирования состоявшейся или предполагаемой сделки (вид оплаты, условия кредитования, иные условия);</w:t>
      </w:r>
    </w:p>
    <w:p w14:paraId="4B10E341" w14:textId="658CEF3B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условия продажи (нетипичные для рынка условия, сделка между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аффилированными лицами, иные условия);</w:t>
      </w:r>
    </w:p>
    <w:p w14:paraId="14118D3C" w14:textId="3CF35EC4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условия рынка (изменения цен за период между датами сделки и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оценки, скидки к ценам предложений, иные условия);</w:t>
      </w:r>
    </w:p>
    <w:p w14:paraId="0063F3CB" w14:textId="77777777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вид использования и (или) зонирование;</w:t>
      </w:r>
    </w:p>
    <w:p w14:paraId="158C60AE" w14:textId="77777777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местоположение объекта;</w:t>
      </w:r>
    </w:p>
    <w:p w14:paraId="1F74F96F" w14:textId="52A92EEB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физические характеристики объекта, в том числе свойства земельного участка, состояние объектов капитального строительства, соотношение площади земельного участка и площади его застройки, иные характеристики;</w:t>
      </w:r>
    </w:p>
    <w:p w14:paraId="2506ED2E" w14:textId="11454AD0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экономические характеристики (уровень операционных расходов,</w:t>
      </w:r>
      <w:r w:rsidR="008D157A">
        <w:rPr>
          <w:rFonts w:ascii="Times New Roman" w:hAnsi="Times New Roman" w:cs="Times New Roman"/>
          <w:sz w:val="24"/>
          <w:szCs w:val="24"/>
        </w:rPr>
        <w:t xml:space="preserve"> </w:t>
      </w:r>
      <w:r w:rsidRPr="00A431B2">
        <w:rPr>
          <w:rFonts w:ascii="Times New Roman" w:hAnsi="Times New Roman" w:cs="Times New Roman"/>
          <w:sz w:val="24"/>
          <w:szCs w:val="24"/>
        </w:rPr>
        <w:t>условия аренды, состав арендаторов, иные характеристики);</w:t>
      </w:r>
    </w:p>
    <w:p w14:paraId="15C5D1B5" w14:textId="77777777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наличие движимого имущества, не связанного с недвижимостью;</w:t>
      </w:r>
    </w:p>
    <w:p w14:paraId="610AD7FB" w14:textId="77777777" w:rsidR="00A431B2" w:rsidRPr="00A431B2" w:rsidRDefault="00A431B2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B2">
        <w:rPr>
          <w:rFonts w:ascii="Times New Roman" w:hAnsi="Times New Roman" w:cs="Times New Roman"/>
          <w:sz w:val="24"/>
          <w:szCs w:val="24"/>
        </w:rPr>
        <w:t>- другие характеристики (элементы), влияющие на стоимость;</w:t>
      </w:r>
    </w:p>
    <w:p w14:paraId="183743F5" w14:textId="64EF9883" w:rsidR="00A431B2" w:rsidRDefault="008D157A" w:rsidP="008D15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</w:t>
      </w:r>
      <w:r w:rsidR="00A431B2" w:rsidRPr="00A431B2">
        <w:rPr>
          <w:rFonts w:ascii="Times New Roman" w:hAnsi="Times New Roman" w:cs="Times New Roman"/>
          <w:sz w:val="24"/>
          <w:szCs w:val="24"/>
        </w:rPr>
        <w:t xml:space="preserve">помимо стоимости, сравнительный подход может использоваться для определения других расчетных показателей, например арендных ставок, износа и </w:t>
      </w:r>
      <w:proofErr w:type="spellStart"/>
      <w:r w:rsidR="00A431B2" w:rsidRPr="00A431B2">
        <w:rPr>
          <w:rFonts w:ascii="Times New Roman" w:hAnsi="Times New Roman" w:cs="Times New Roman"/>
          <w:sz w:val="24"/>
          <w:szCs w:val="24"/>
        </w:rPr>
        <w:t>устареваний</w:t>
      </w:r>
      <w:proofErr w:type="spellEnd"/>
      <w:r w:rsidR="00A431B2" w:rsidRPr="00A431B2">
        <w:rPr>
          <w:rFonts w:ascii="Times New Roman" w:hAnsi="Times New Roman" w:cs="Times New Roman"/>
          <w:sz w:val="24"/>
          <w:szCs w:val="24"/>
        </w:rPr>
        <w:t>, ставок капитализации и дисконтирования.</w:t>
      </w:r>
    </w:p>
    <w:p w14:paraId="58D4D6FD" w14:textId="77777777" w:rsidR="0044755C" w:rsidRPr="002C0EDC" w:rsidRDefault="0044755C" w:rsidP="004475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EDC">
        <w:rPr>
          <w:rFonts w:ascii="Times New Roman" w:hAnsi="Times New Roman" w:cs="Times New Roman"/>
          <w:color w:val="FF0000"/>
          <w:sz w:val="24"/>
          <w:szCs w:val="24"/>
        </w:rPr>
        <w:t xml:space="preserve">2. </w:t>
      </w:r>
      <w:r w:rsidRPr="002C0EDC">
        <w:rPr>
          <w:rFonts w:ascii="Times New Roman" w:hAnsi="Times New Roman" w:cs="Times New Roman"/>
          <w:sz w:val="24"/>
          <w:szCs w:val="24"/>
        </w:rPr>
        <w:t>Метод рынка капитала опирается на использование компаний аналогов с фондового рынка. Преимущество метода заключается в использовании фактической информации. Что важно данный метод позволяет найти цены на сопоставимые компании почти на любой день, в связи с тем, что ценные бумаги торгуются почти каждый день. Однако необходимо подчеркнуть, что с помощью данного метода мы оцениваем стоимость бизнеса на уровне неконтрольного пакета акций, так как на фондовом рынке не реализуются контрольные пакеты акций.</w:t>
      </w:r>
    </w:p>
    <w:p w14:paraId="78489C58" w14:textId="77777777" w:rsidR="0044755C" w:rsidRPr="002C0EDC" w:rsidRDefault="0044755C" w:rsidP="004475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EDC">
        <w:rPr>
          <w:rFonts w:ascii="Times New Roman" w:hAnsi="Times New Roman" w:cs="Times New Roman"/>
          <w:sz w:val="24"/>
          <w:szCs w:val="24"/>
        </w:rPr>
        <w:t xml:space="preserve">Метод сделок является частным случаем метода рынка капитала. Основным отличием от метода рынка капитала является, </w:t>
      </w:r>
      <w:proofErr w:type="gramStart"/>
      <w:r w:rsidRPr="002C0EDC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2C0EDC">
        <w:rPr>
          <w:rFonts w:ascii="Times New Roman" w:hAnsi="Times New Roman" w:cs="Times New Roman"/>
          <w:sz w:val="24"/>
          <w:szCs w:val="24"/>
        </w:rPr>
        <w:t xml:space="preserve"> что в этом методе определяется уровень стоимости контрольного пакета акций, так как компании аналоги подбираются с рынка корпоративного контроля.</w:t>
      </w:r>
    </w:p>
    <w:p w14:paraId="14A2E684" w14:textId="77777777" w:rsidR="0044755C" w:rsidRPr="002C0EDC" w:rsidRDefault="0044755C" w:rsidP="004475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EDC">
        <w:rPr>
          <w:rFonts w:ascii="Times New Roman" w:hAnsi="Times New Roman" w:cs="Times New Roman"/>
          <w:sz w:val="24"/>
          <w:szCs w:val="24"/>
        </w:rPr>
        <w:t>Метод отраслевых коэффициентов основан на рекомендуемых соотношениях между ценой и определенными финансовыми показателями. Расчет отраслевых коэффициентов происходит на основе статистических данных за длительный период. Из-за отсутствия достаточных данных данный метод практически не используется в РФ.</w:t>
      </w:r>
    </w:p>
    <w:p w14:paraId="20A34699" w14:textId="77777777" w:rsidR="00A431B2" w:rsidRPr="00EC7B8C" w:rsidRDefault="00A431B2" w:rsidP="00EC7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431B2" w:rsidRPr="00EC7B8C" w:rsidSect="00D452C9">
      <w:pgSz w:w="11906" w:h="16838"/>
      <w:pgMar w:top="851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6E35"/>
    <w:multiLevelType w:val="hybridMultilevel"/>
    <w:tmpl w:val="D9A05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51902"/>
    <w:multiLevelType w:val="hybridMultilevel"/>
    <w:tmpl w:val="1D1E86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142CE"/>
    <w:multiLevelType w:val="multilevel"/>
    <w:tmpl w:val="12B0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504D2"/>
    <w:multiLevelType w:val="hybridMultilevel"/>
    <w:tmpl w:val="2F9854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A61F6"/>
    <w:multiLevelType w:val="hybridMultilevel"/>
    <w:tmpl w:val="DF8E06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7570956"/>
    <w:multiLevelType w:val="hybridMultilevel"/>
    <w:tmpl w:val="AE5EF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9994896"/>
    <w:multiLevelType w:val="hybridMultilevel"/>
    <w:tmpl w:val="BDEA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1497B"/>
    <w:multiLevelType w:val="multilevel"/>
    <w:tmpl w:val="95EE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E326E2"/>
    <w:multiLevelType w:val="multilevel"/>
    <w:tmpl w:val="BC4E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474F77"/>
    <w:multiLevelType w:val="hybridMultilevel"/>
    <w:tmpl w:val="BAD06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D6DEF"/>
    <w:multiLevelType w:val="hybridMultilevel"/>
    <w:tmpl w:val="614282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D6DB8"/>
    <w:multiLevelType w:val="hybridMultilevel"/>
    <w:tmpl w:val="093A34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C5316"/>
    <w:multiLevelType w:val="multilevel"/>
    <w:tmpl w:val="9398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D58C0"/>
    <w:multiLevelType w:val="hybridMultilevel"/>
    <w:tmpl w:val="089EF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569A5"/>
    <w:multiLevelType w:val="hybridMultilevel"/>
    <w:tmpl w:val="547458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34D11"/>
    <w:multiLevelType w:val="multilevel"/>
    <w:tmpl w:val="8ECE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5936B1"/>
    <w:multiLevelType w:val="multilevel"/>
    <w:tmpl w:val="A7F6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8111E2"/>
    <w:multiLevelType w:val="hybridMultilevel"/>
    <w:tmpl w:val="9E7C90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C566F"/>
    <w:multiLevelType w:val="hybridMultilevel"/>
    <w:tmpl w:val="37F623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ED70FE"/>
    <w:multiLevelType w:val="multilevel"/>
    <w:tmpl w:val="4162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D36887"/>
    <w:multiLevelType w:val="multilevel"/>
    <w:tmpl w:val="BD5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8850D1"/>
    <w:multiLevelType w:val="hybridMultilevel"/>
    <w:tmpl w:val="6B9E19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1C8532D"/>
    <w:multiLevelType w:val="multilevel"/>
    <w:tmpl w:val="433E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810C8C"/>
    <w:multiLevelType w:val="hybridMultilevel"/>
    <w:tmpl w:val="185CD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8A1178"/>
    <w:multiLevelType w:val="multilevel"/>
    <w:tmpl w:val="DDF6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425AD6"/>
    <w:multiLevelType w:val="hybridMultilevel"/>
    <w:tmpl w:val="FF2038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D0E77"/>
    <w:multiLevelType w:val="hybridMultilevel"/>
    <w:tmpl w:val="4FEE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CD20FF"/>
    <w:multiLevelType w:val="hybridMultilevel"/>
    <w:tmpl w:val="1D78D3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1C5E04"/>
    <w:multiLevelType w:val="multilevel"/>
    <w:tmpl w:val="030E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2C3991"/>
    <w:multiLevelType w:val="multilevel"/>
    <w:tmpl w:val="7236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823FB2"/>
    <w:multiLevelType w:val="hybridMultilevel"/>
    <w:tmpl w:val="9E84C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AC3A1B"/>
    <w:multiLevelType w:val="multilevel"/>
    <w:tmpl w:val="AA98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F77862"/>
    <w:multiLevelType w:val="multilevel"/>
    <w:tmpl w:val="424E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715D7D"/>
    <w:multiLevelType w:val="hybridMultilevel"/>
    <w:tmpl w:val="9DB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CE2602"/>
    <w:multiLevelType w:val="hybridMultilevel"/>
    <w:tmpl w:val="851AD5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F227FD"/>
    <w:multiLevelType w:val="hybridMultilevel"/>
    <w:tmpl w:val="B93499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9E0BEB"/>
    <w:multiLevelType w:val="hybridMultilevel"/>
    <w:tmpl w:val="EC6462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63D6FF0"/>
    <w:multiLevelType w:val="multilevel"/>
    <w:tmpl w:val="1A06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52766E"/>
    <w:multiLevelType w:val="hybridMultilevel"/>
    <w:tmpl w:val="67A8F8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EC1530"/>
    <w:multiLevelType w:val="multilevel"/>
    <w:tmpl w:val="22C4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DA4122"/>
    <w:multiLevelType w:val="hybridMultilevel"/>
    <w:tmpl w:val="044E7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C1606E"/>
    <w:multiLevelType w:val="hybridMultilevel"/>
    <w:tmpl w:val="65BEA3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351A7E"/>
    <w:multiLevelType w:val="multilevel"/>
    <w:tmpl w:val="24C8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472399"/>
    <w:multiLevelType w:val="hybridMultilevel"/>
    <w:tmpl w:val="DB2A5D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6834DB"/>
    <w:multiLevelType w:val="hybridMultilevel"/>
    <w:tmpl w:val="C4A462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8DA0D5D"/>
    <w:multiLevelType w:val="multilevel"/>
    <w:tmpl w:val="D9D6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B31136"/>
    <w:multiLevelType w:val="hybridMultilevel"/>
    <w:tmpl w:val="148480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3"/>
  </w:num>
  <w:num w:numId="3">
    <w:abstractNumId w:val="4"/>
  </w:num>
  <w:num w:numId="4">
    <w:abstractNumId w:val="34"/>
  </w:num>
  <w:num w:numId="5">
    <w:abstractNumId w:val="11"/>
  </w:num>
  <w:num w:numId="6">
    <w:abstractNumId w:val="23"/>
  </w:num>
  <w:num w:numId="7">
    <w:abstractNumId w:val="3"/>
  </w:num>
  <w:num w:numId="8">
    <w:abstractNumId w:val="41"/>
  </w:num>
  <w:num w:numId="9">
    <w:abstractNumId w:val="30"/>
  </w:num>
  <w:num w:numId="10">
    <w:abstractNumId w:val="6"/>
  </w:num>
  <w:num w:numId="11">
    <w:abstractNumId w:val="25"/>
  </w:num>
  <w:num w:numId="12">
    <w:abstractNumId w:val="27"/>
  </w:num>
  <w:num w:numId="13">
    <w:abstractNumId w:val="26"/>
  </w:num>
  <w:num w:numId="14">
    <w:abstractNumId w:val="43"/>
  </w:num>
  <w:num w:numId="15">
    <w:abstractNumId w:val="17"/>
  </w:num>
  <w:num w:numId="16">
    <w:abstractNumId w:val="46"/>
  </w:num>
  <w:num w:numId="17">
    <w:abstractNumId w:val="38"/>
  </w:num>
  <w:num w:numId="18">
    <w:abstractNumId w:val="9"/>
  </w:num>
  <w:num w:numId="19">
    <w:abstractNumId w:val="1"/>
  </w:num>
  <w:num w:numId="20">
    <w:abstractNumId w:val="13"/>
  </w:num>
  <w:num w:numId="21">
    <w:abstractNumId w:val="10"/>
  </w:num>
  <w:num w:numId="22">
    <w:abstractNumId w:val="0"/>
  </w:num>
  <w:num w:numId="23">
    <w:abstractNumId w:val="40"/>
  </w:num>
  <w:num w:numId="24">
    <w:abstractNumId w:val="5"/>
  </w:num>
  <w:num w:numId="25">
    <w:abstractNumId w:val="44"/>
  </w:num>
  <w:num w:numId="26">
    <w:abstractNumId w:val="36"/>
  </w:num>
  <w:num w:numId="27">
    <w:abstractNumId w:val="21"/>
  </w:num>
  <w:num w:numId="28">
    <w:abstractNumId w:val="35"/>
  </w:num>
  <w:num w:numId="29">
    <w:abstractNumId w:val="20"/>
  </w:num>
  <w:num w:numId="30">
    <w:abstractNumId w:val="22"/>
  </w:num>
  <w:num w:numId="31">
    <w:abstractNumId w:val="8"/>
  </w:num>
  <w:num w:numId="32">
    <w:abstractNumId w:val="31"/>
  </w:num>
  <w:num w:numId="33">
    <w:abstractNumId w:val="2"/>
  </w:num>
  <w:num w:numId="34">
    <w:abstractNumId w:val="15"/>
  </w:num>
  <w:num w:numId="35">
    <w:abstractNumId w:val="29"/>
  </w:num>
  <w:num w:numId="36">
    <w:abstractNumId w:val="16"/>
  </w:num>
  <w:num w:numId="37">
    <w:abstractNumId w:val="19"/>
  </w:num>
  <w:num w:numId="38">
    <w:abstractNumId w:val="12"/>
  </w:num>
  <w:num w:numId="39">
    <w:abstractNumId w:val="24"/>
  </w:num>
  <w:num w:numId="40">
    <w:abstractNumId w:val="39"/>
  </w:num>
  <w:num w:numId="41">
    <w:abstractNumId w:val="32"/>
  </w:num>
  <w:num w:numId="42">
    <w:abstractNumId w:val="45"/>
  </w:num>
  <w:num w:numId="43">
    <w:abstractNumId w:val="42"/>
  </w:num>
  <w:num w:numId="44">
    <w:abstractNumId w:val="7"/>
  </w:num>
  <w:num w:numId="45">
    <w:abstractNumId w:val="37"/>
  </w:num>
  <w:num w:numId="46">
    <w:abstractNumId w:val="14"/>
  </w:num>
  <w:num w:numId="47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51"/>
    <w:rsid w:val="000265C5"/>
    <w:rsid w:val="00045C40"/>
    <w:rsid w:val="00084C45"/>
    <w:rsid w:val="000B69D0"/>
    <w:rsid w:val="000C24BE"/>
    <w:rsid w:val="000C7E6C"/>
    <w:rsid w:val="000E1430"/>
    <w:rsid w:val="000F3D24"/>
    <w:rsid w:val="001127E6"/>
    <w:rsid w:val="0016225C"/>
    <w:rsid w:val="0016693D"/>
    <w:rsid w:val="00171E20"/>
    <w:rsid w:val="00190AFF"/>
    <w:rsid w:val="001A0167"/>
    <w:rsid w:val="001D1088"/>
    <w:rsid w:val="001F4824"/>
    <w:rsid w:val="00246A86"/>
    <w:rsid w:val="00294A43"/>
    <w:rsid w:val="002C76CF"/>
    <w:rsid w:val="002D300D"/>
    <w:rsid w:val="002F3403"/>
    <w:rsid w:val="00305A13"/>
    <w:rsid w:val="0033686C"/>
    <w:rsid w:val="0036306B"/>
    <w:rsid w:val="0036580F"/>
    <w:rsid w:val="00365EB3"/>
    <w:rsid w:val="003B5540"/>
    <w:rsid w:val="003C5D13"/>
    <w:rsid w:val="003D0EB2"/>
    <w:rsid w:val="003F2D0B"/>
    <w:rsid w:val="00411926"/>
    <w:rsid w:val="004146DD"/>
    <w:rsid w:val="004255DC"/>
    <w:rsid w:val="0044755C"/>
    <w:rsid w:val="00477F81"/>
    <w:rsid w:val="004B2145"/>
    <w:rsid w:val="004D4B4E"/>
    <w:rsid w:val="004D6936"/>
    <w:rsid w:val="004D6E86"/>
    <w:rsid w:val="004D7781"/>
    <w:rsid w:val="0051699E"/>
    <w:rsid w:val="0056089C"/>
    <w:rsid w:val="00573C6E"/>
    <w:rsid w:val="005A2114"/>
    <w:rsid w:val="005E525F"/>
    <w:rsid w:val="00602F3D"/>
    <w:rsid w:val="00603244"/>
    <w:rsid w:val="00623F71"/>
    <w:rsid w:val="00667180"/>
    <w:rsid w:val="006A17D2"/>
    <w:rsid w:val="006A2226"/>
    <w:rsid w:val="006A6262"/>
    <w:rsid w:val="006C0A79"/>
    <w:rsid w:val="006C4B13"/>
    <w:rsid w:val="006F1A74"/>
    <w:rsid w:val="00730A10"/>
    <w:rsid w:val="0073446B"/>
    <w:rsid w:val="007915F7"/>
    <w:rsid w:val="007A4340"/>
    <w:rsid w:val="007C1496"/>
    <w:rsid w:val="007D6010"/>
    <w:rsid w:val="007E19B1"/>
    <w:rsid w:val="007F363B"/>
    <w:rsid w:val="007F646A"/>
    <w:rsid w:val="00800A59"/>
    <w:rsid w:val="00830824"/>
    <w:rsid w:val="008611C7"/>
    <w:rsid w:val="008765E8"/>
    <w:rsid w:val="00882E22"/>
    <w:rsid w:val="00882FB3"/>
    <w:rsid w:val="008D157A"/>
    <w:rsid w:val="008E0F24"/>
    <w:rsid w:val="00900464"/>
    <w:rsid w:val="009256EA"/>
    <w:rsid w:val="00931D8F"/>
    <w:rsid w:val="00932363"/>
    <w:rsid w:val="0098537F"/>
    <w:rsid w:val="00992002"/>
    <w:rsid w:val="009A53B6"/>
    <w:rsid w:val="009B73F4"/>
    <w:rsid w:val="009D25EE"/>
    <w:rsid w:val="009E4DA0"/>
    <w:rsid w:val="00A32B68"/>
    <w:rsid w:val="00A431B2"/>
    <w:rsid w:val="00A77296"/>
    <w:rsid w:val="00B149D7"/>
    <w:rsid w:val="00B67D99"/>
    <w:rsid w:val="00BA25B0"/>
    <w:rsid w:val="00BB48C7"/>
    <w:rsid w:val="00BD2D77"/>
    <w:rsid w:val="00C149A1"/>
    <w:rsid w:val="00C23751"/>
    <w:rsid w:val="00C470CE"/>
    <w:rsid w:val="00C53946"/>
    <w:rsid w:val="00C61E68"/>
    <w:rsid w:val="00C62606"/>
    <w:rsid w:val="00C77AC7"/>
    <w:rsid w:val="00CC39F8"/>
    <w:rsid w:val="00CD481E"/>
    <w:rsid w:val="00D42357"/>
    <w:rsid w:val="00D452C9"/>
    <w:rsid w:val="00DA1161"/>
    <w:rsid w:val="00DC1F8A"/>
    <w:rsid w:val="00E32830"/>
    <w:rsid w:val="00E41787"/>
    <w:rsid w:val="00E53852"/>
    <w:rsid w:val="00EB2452"/>
    <w:rsid w:val="00EC3179"/>
    <w:rsid w:val="00EC4D5D"/>
    <w:rsid w:val="00EC7B8C"/>
    <w:rsid w:val="00EE5370"/>
    <w:rsid w:val="00EF2F20"/>
    <w:rsid w:val="00F1156C"/>
    <w:rsid w:val="00F21201"/>
    <w:rsid w:val="00F24AC3"/>
    <w:rsid w:val="00F26EB7"/>
    <w:rsid w:val="00F7097E"/>
    <w:rsid w:val="00F742B1"/>
    <w:rsid w:val="00FB1712"/>
    <w:rsid w:val="00FB2E62"/>
    <w:rsid w:val="00FC563A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9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C4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67D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D1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74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C4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67D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D1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74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2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35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1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710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57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7036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85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48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4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1591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5214</Words>
  <Characters>29720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2026-04-13T09:04:00Z</dcterms:created>
  <dcterms:modified xsi:type="dcterms:W3CDTF">2026-04-13T09:09:00Z</dcterms:modified>
</cp:coreProperties>
</file>