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BE" w:rsidRPr="009B78BE" w:rsidRDefault="009B78BE" w:rsidP="009B78BE">
      <w:pPr>
        <w:pStyle w:val="2"/>
        <w:jc w:val="center"/>
        <w:rPr>
          <w:rFonts w:cs="Times New Roman"/>
          <w:iCs w:val="0"/>
          <w:szCs w:val="24"/>
        </w:rPr>
      </w:pPr>
      <w:bookmarkStart w:id="0" w:name="_Toc221303564"/>
      <w:r w:rsidRPr="009B78BE">
        <w:rPr>
          <w:rFonts w:cs="Times New Roman"/>
          <w:iCs w:val="0"/>
          <w:szCs w:val="24"/>
        </w:rPr>
        <w:t>2.7. Анализ использования материальных ресурсов</w:t>
      </w:r>
      <w:bookmarkEnd w:id="0"/>
    </w:p>
    <w:p w:rsidR="009B78BE" w:rsidRPr="009B78BE" w:rsidRDefault="009B78BE" w:rsidP="009B78BE">
      <w:pPr>
        <w:pStyle w:val="a3"/>
        <w:ind w:firstLine="0"/>
        <w:jc w:val="both"/>
        <w:rPr>
          <w:b/>
          <w:sz w:val="24"/>
          <w:szCs w:val="24"/>
        </w:rPr>
      </w:pP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sz w:val="24"/>
          <w:szCs w:val="24"/>
        </w:rPr>
        <w:t>Информационной базой для анализа использования материальных ресурсов являются данные статистической отчетности ф. № 5-з, сметная документация на выполняемые объекты (работы), а также данные внутренней отчетности предприятия.</w:t>
      </w: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sz w:val="24"/>
          <w:szCs w:val="24"/>
        </w:rPr>
        <w:t>Основные направления анализа использования материальных ресурсов:</w:t>
      </w: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sz w:val="24"/>
          <w:szCs w:val="24"/>
        </w:rPr>
        <w:t>– анализ динамики показателей эффективности использования материальных ресурсов;</w:t>
      </w: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sz w:val="24"/>
          <w:szCs w:val="24"/>
        </w:rPr>
        <w:t>– анализ структуры материальных затрат;</w:t>
      </w:r>
    </w:p>
    <w:p w:rsidR="009B78BE" w:rsidRPr="009B78BE" w:rsidRDefault="009B78BE" w:rsidP="009B78BE">
      <w:pPr>
        <w:pStyle w:val="a3"/>
        <w:ind w:firstLine="709"/>
        <w:jc w:val="both"/>
        <w:rPr>
          <w:spacing w:val="-2"/>
          <w:sz w:val="24"/>
          <w:szCs w:val="24"/>
        </w:rPr>
      </w:pPr>
      <w:r w:rsidRPr="009B78BE">
        <w:rPr>
          <w:spacing w:val="-2"/>
          <w:sz w:val="24"/>
          <w:szCs w:val="24"/>
        </w:rPr>
        <w:t>– факторный анализ использования материальных ресурсов.</w:t>
      </w: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sz w:val="24"/>
          <w:szCs w:val="24"/>
        </w:rPr>
        <w:t xml:space="preserve">Основными показателями, характеризующими использование материальных ресурсов, являются </w:t>
      </w:r>
      <w:proofErr w:type="spellStart"/>
      <w:r w:rsidRPr="009B78BE">
        <w:rPr>
          <w:sz w:val="24"/>
          <w:szCs w:val="24"/>
        </w:rPr>
        <w:t>материалоотдача</w:t>
      </w:r>
      <w:proofErr w:type="spellEnd"/>
      <w:r w:rsidRPr="009B78BE">
        <w:rPr>
          <w:sz w:val="24"/>
          <w:szCs w:val="24"/>
        </w:rPr>
        <w:t xml:space="preserve"> и материалоемкость (табл. 2.71, рис. 2.26).</w:t>
      </w: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b/>
          <w:sz w:val="24"/>
          <w:szCs w:val="24"/>
        </w:rPr>
        <w:t>Материалоемкость</w:t>
      </w:r>
      <w:proofErr w:type="gramStart"/>
      <w:r w:rsidRPr="009B78BE">
        <w:rPr>
          <w:sz w:val="24"/>
          <w:szCs w:val="24"/>
        </w:rPr>
        <w:t xml:space="preserve"> (</w:t>
      </w:r>
      <w:r w:rsidRPr="009B78BE">
        <w:rPr>
          <w:position w:val="-4"/>
          <w:sz w:val="24"/>
          <w:szCs w:val="24"/>
        </w:rPr>
        <w:object w:dxaOrig="4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.75pt;height:12.75pt" o:ole="">
            <v:imagedata r:id="rId5" o:title=""/>
          </v:shape>
          <o:OLEObject Type="Embed" ProgID="Equation.3" ShapeID="_x0000_i1026" DrawAspect="Content" ObjectID="_1696239194" r:id="rId6"/>
        </w:object>
      </w:r>
      <w:r w:rsidRPr="009B78BE">
        <w:rPr>
          <w:sz w:val="24"/>
          <w:szCs w:val="24"/>
        </w:rPr>
        <w:t xml:space="preserve">) – </w:t>
      </w:r>
      <w:proofErr w:type="gramEnd"/>
      <w:r w:rsidRPr="009B78BE">
        <w:rPr>
          <w:sz w:val="24"/>
          <w:szCs w:val="24"/>
        </w:rPr>
        <w:t>это отношение стоимости затраченных материальных ресурсов или материальных затрат (</w:t>
      </w:r>
      <w:r w:rsidRPr="009B78BE">
        <w:rPr>
          <w:position w:val="-6"/>
          <w:sz w:val="24"/>
          <w:szCs w:val="24"/>
        </w:rPr>
        <w:object w:dxaOrig="400" w:dyaOrig="279">
          <v:shape id="_x0000_i1027" type="#_x0000_t75" style="width:20.25pt;height:14.25pt" o:ole="">
            <v:imagedata r:id="rId7" o:title=""/>
          </v:shape>
          <o:OLEObject Type="Embed" ProgID="Equation.3" ShapeID="_x0000_i1027" DrawAspect="Content" ObjectID="_1696239195" r:id="rId8"/>
        </w:object>
      </w:r>
      <w:r w:rsidRPr="009B78BE">
        <w:rPr>
          <w:sz w:val="24"/>
          <w:szCs w:val="24"/>
        </w:rPr>
        <w:t>) к стоимости выполненных СМР</w:t>
      </w:r>
    </w:p>
    <w:p w:rsidR="009B78BE" w:rsidRPr="009B78BE" w:rsidRDefault="009B78BE" w:rsidP="009B78BE">
      <w:pPr>
        <w:pStyle w:val="a3"/>
        <w:ind w:firstLine="709"/>
        <w:jc w:val="center"/>
        <w:rPr>
          <w:sz w:val="24"/>
          <w:szCs w:val="24"/>
        </w:rPr>
      </w:pPr>
      <w:r w:rsidRPr="009B78BE">
        <w:rPr>
          <w:position w:val="-30"/>
          <w:sz w:val="24"/>
          <w:szCs w:val="24"/>
        </w:rPr>
        <w:object w:dxaOrig="1219" w:dyaOrig="680">
          <v:shape id="_x0000_i1028" type="#_x0000_t75" style="width:60.75pt;height:33.75pt" o:ole="">
            <v:imagedata r:id="rId9" o:title=""/>
          </v:shape>
          <o:OLEObject Type="Embed" ProgID="Equation.3" ShapeID="_x0000_i1028" DrawAspect="Content" ObjectID="_1696239196" r:id="rId10"/>
        </w:object>
      </w:r>
      <w:r w:rsidRPr="009B78BE">
        <w:rPr>
          <w:sz w:val="24"/>
          <w:szCs w:val="24"/>
        </w:rPr>
        <w:t>.</w:t>
      </w: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sz w:val="24"/>
          <w:szCs w:val="24"/>
        </w:rPr>
        <w:t>Материалоемкость показывает, сколько материальных ресурсов затрачено на один рубль стоимости выполненных работ. Положительно оценивается снижение данного показателя в динамике.</w:t>
      </w:r>
    </w:p>
    <w:p w:rsidR="009B78BE" w:rsidRPr="009B78BE" w:rsidRDefault="009B78BE" w:rsidP="009B78BE">
      <w:pPr>
        <w:pStyle w:val="a3"/>
        <w:ind w:firstLine="709"/>
        <w:jc w:val="right"/>
        <w:rPr>
          <w:i/>
          <w:sz w:val="24"/>
          <w:szCs w:val="24"/>
        </w:rPr>
      </w:pPr>
      <w:r w:rsidRPr="009B78BE">
        <w:rPr>
          <w:i/>
          <w:sz w:val="24"/>
          <w:szCs w:val="24"/>
        </w:rPr>
        <w:t>Таблица 2.71</w:t>
      </w:r>
    </w:p>
    <w:p w:rsidR="009B78BE" w:rsidRPr="009B78BE" w:rsidRDefault="009B78BE" w:rsidP="009B78BE">
      <w:pPr>
        <w:pStyle w:val="a5"/>
        <w:spacing w:after="0"/>
        <w:rPr>
          <w:b w:val="0"/>
          <w:sz w:val="24"/>
          <w:szCs w:val="24"/>
        </w:rPr>
      </w:pPr>
      <w:r w:rsidRPr="009B78BE">
        <w:rPr>
          <w:b w:val="0"/>
          <w:sz w:val="24"/>
          <w:szCs w:val="24"/>
        </w:rPr>
        <w:t>Анализ показателей использования материальных ресурсов</w:t>
      </w:r>
    </w:p>
    <w:tbl>
      <w:tblPr>
        <w:tblW w:w="8334" w:type="dxa"/>
        <w:jc w:val="center"/>
        <w:tblInd w:w="-9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73"/>
        <w:gridCol w:w="992"/>
        <w:gridCol w:w="992"/>
        <w:gridCol w:w="992"/>
        <w:gridCol w:w="1164"/>
        <w:gridCol w:w="821"/>
      </w:tblGrid>
      <w:tr w:rsidR="009B78BE" w:rsidRPr="009B78BE" w:rsidTr="00B01079">
        <w:trPr>
          <w:trHeight w:val="227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9B78BE" w:rsidRPr="009B78BE" w:rsidTr="00B01079">
        <w:trPr>
          <w:trHeight w:val="510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1. Стоимость выполненных СМР в действующих ценах,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253125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277333,3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327132,6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404210,53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568000</w:t>
            </w: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2. Материальные затраты,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140788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161408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183947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224467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322250</w:t>
            </w:r>
          </w:p>
        </w:tc>
      </w:tr>
      <w:tr w:rsidR="009B78BE" w:rsidRPr="009B78BE" w:rsidTr="00B01079">
        <w:trPr>
          <w:trHeight w:val="76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Темпы роста стоимости выполненных СМР в действующих ценах, %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109,56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117,96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123,56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140,52</w:t>
            </w:r>
          </w:p>
        </w:tc>
      </w:tr>
      <w:tr w:rsidR="009B78BE" w:rsidRPr="009B78BE" w:rsidTr="00B01079">
        <w:trPr>
          <w:trHeight w:val="510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4. Темпы роста материальных затрат,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113,96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122,03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143,56</w:t>
            </w: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5. Материалоемкость, р./р.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0,556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0,582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0,562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0,555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0,567</w:t>
            </w: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Материалоотдача</w:t>
            </w:r>
            <w:proofErr w:type="spellEnd"/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, р./р.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1,718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1,778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1,801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1,763</w:t>
            </w:r>
          </w:p>
        </w:tc>
      </w:tr>
    </w:tbl>
    <w:p w:rsidR="009B78BE" w:rsidRPr="009B78BE" w:rsidRDefault="00BD2402" w:rsidP="009B78BE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editas="canvas" style="width:421.85pt;height:189pt;mso-position-horizontal-relative:char;mso-position-vertical-relative:line" coordsize="7003,3138">
            <o:lock v:ext="edit" aspectratio="t"/>
            <v:shape id="_x0000_s1027" type="#_x0000_t75" style="position:absolute;width:7003;height:3138" o:preferrelative="f">
              <v:fill o:detectmouseclick="t"/>
              <v:path o:extrusionok="t" o:connecttype="none"/>
              <o:lock v:ext="edit" text="t"/>
            </v:shape>
            <v:rect id="_x0000_s1028" style="position:absolute;left:54;top:53;width:6522;height:2919" stroked="f"/>
            <v:rect id="_x0000_s1029" style="position:absolute;left:868;top:310;width:4894;height:1860" stroked="f"/>
            <v:rect id="_x0000_s1030" style="position:absolute;left:868;top:310;width:4894;height:1860" filled="f" strokecolor="gray" strokeweight=".55pt"/>
            <v:rect id="_x0000_s1031" style="position:absolute;left:1157;top:1123;width:385;height:1047" fillcolor="#0cf" strokeweight=".55pt"/>
            <v:rect id="_x0000_s1032" style="position:absolute;left:2131;top:641;width:397;height:1529" fillcolor="#0cf" strokeweight=".55pt"/>
            <v:rect id="_x0000_s1033" style="position:absolute;left:3117;top:1016;width:385;height:1154" fillcolor="#0cf" strokeweight=".55pt"/>
            <v:rect id="_x0000_s1034" style="position:absolute;left:4092;top:1144;width:396;height:1026" fillcolor="#0cf" strokeweight=".55pt"/>
            <v:rect id="_x0000_s1035" style="position:absolute;left:5077;top:919;width:386;height:1251" fillcolor="#0cf" strokeweight=".55pt"/>
            <v:line id="_x0000_s1036" style="position:absolute" from="868,310" to="869,2170" strokeweight="0"/>
            <v:line id="_x0000_s1037" style="position:absolute" from="814,2170" to="921,2171" strokeweight="0"/>
            <v:line id="_x0000_s1038" style="position:absolute" from="814,1796" to="921,1797" strokeweight="0"/>
            <v:line id="_x0000_s1039" style="position:absolute" from="814,1422" to="921,1423" strokeweight="0"/>
            <v:line id="_x0000_s1040" style="position:absolute" from="814,1058" to="921,1059" strokeweight="0"/>
            <v:line id="_x0000_s1041" style="position:absolute" from="814,684" to="921,685" strokeweight="0"/>
            <v:line id="_x0000_s1042" style="position:absolute" from="814,310" to="921,311" strokeweight="0"/>
            <v:line id="_x0000_s1043" style="position:absolute" from="868,2170" to="5762,2171" strokeweight="0"/>
            <v:line id="_x0000_s1044" style="position:absolute;flip:y" from="868,2117" to="869,2224" strokeweight="0"/>
            <v:line id="_x0000_s1045" style="position:absolute;flip:y" from="1842,2117" to="1843,2224" strokeweight="0"/>
            <v:line id="_x0000_s1046" style="position:absolute;flip:y" from="2828,2117" to="2829,2224" strokeweight="0"/>
            <v:line id="_x0000_s1047" style="position:absolute;flip:y" from="3802,2117" to="3803,2224" strokeweight="0"/>
            <v:line id="_x0000_s1048" style="position:absolute;flip:y" from="4788,2117" to="4789,2224" strokeweight="0"/>
            <v:line id="_x0000_s1049" style="position:absolute;flip:y" from="5762,2117" to="5763,2224" strokeweight="0"/>
            <v:line id="_x0000_s1050" style="position:absolute" from="5762,310" to="5763,2170" strokeweight="0"/>
            <v:line id="_x0000_s1051" style="position:absolute" from="5709,2170" to="5816,2171" strokeweight="0"/>
            <v:line id="_x0000_s1052" style="position:absolute" from="5709,1903" to="5816,1904" strokeweight="0"/>
            <v:line id="_x0000_s1053" style="position:absolute" from="5709,1636" to="5816,1637" strokeweight="0"/>
            <v:line id="_x0000_s1054" style="position:absolute" from="5709,1369" to="5816,1370" strokeweight="0"/>
            <v:line id="_x0000_s1055" style="position:absolute" from="5709,1112" to="5816,1113" strokeweight="0"/>
            <v:line id="_x0000_s1056" style="position:absolute" from="5709,845" to="5816,846" strokeweight="0"/>
            <v:line id="_x0000_s1057" style="position:absolute" from="5709,577" to="5816,578" strokeweight="0"/>
            <v:line id="_x0000_s1058" style="position:absolute" from="5709,310" to="5816,311" strokeweight="0"/>
            <v:shape id="_x0000_s1059" style="position:absolute;left:1360;top:567;width:3910;height:449" coordsize="365,42" path="m,2l91,42,183,12,274,r91,19e" filled="f" strokecolor="navy" strokeweight="1.05pt">
              <v:path arrowok="t"/>
            </v:shape>
            <v:shape id="_x0000_s1060" style="position:absolute;left:1307;top:535;width:107;height:106" coordsize="107,106" path="m53,r54,53l53,106,,53,53,xe" fillcolor="navy" strokecolor="navy" strokeweight=".55pt">
              <v:path arrowok="t"/>
            </v:shape>
            <v:shape id="_x0000_s1061" style="position:absolute;left:2281;top:962;width:108;height:107" coordsize="108,107" path="m54,r54,54l54,107,,54,54,xe" fillcolor="navy" strokecolor="navy" strokeweight=".55pt">
              <v:path arrowok="t"/>
            </v:shape>
            <v:shape id="_x0000_s1062" style="position:absolute;left:3267;top:641;width:107;height:107" coordsize="107,107" path="m53,r54,54l53,107,,54,53,xe" fillcolor="navy" strokecolor="navy" strokeweight=".55pt">
              <v:path arrowok="t"/>
            </v:shape>
            <v:shape id="_x0000_s1063" style="position:absolute;left:4241;top:513;width:108;height:107" coordsize="108,107" path="m54,r54,54l54,107,,54,54,xe" fillcolor="navy" strokecolor="navy" strokeweight=".55pt">
              <v:path arrowok="t"/>
            </v:shape>
            <v:shape id="_x0000_s1064" style="position:absolute;left:5216;top:716;width:107;height:107" coordsize="107,107" path="m54,r53,54l54,107,,54,54,xe" fillcolor="navy" strokecolor="navy" strokeweight=".55pt">
              <v:path arrowok="t"/>
            </v:shape>
            <v:rect id="_x0000_s1065" style="position:absolute;left:2131;top:364;width:416;height:423;mso-wrap-style:none" filled="f" stroked="f">
              <v:textbox style="mso-next-textbox:#_x0000_s1065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0,582</w:t>
                    </w:r>
                  </w:p>
                </w:txbxContent>
              </v:textbox>
            </v:rect>
            <v:rect id="_x0000_s1066" style="position:absolute;left:1157;top:898;width:416;height:423;mso-wrap-style:none" filled="f" stroked="f">
              <v:textbox style="mso-next-textbox:#_x0000_s1066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0,556</w:t>
                    </w:r>
                  </w:p>
                </w:txbxContent>
              </v:textbox>
            </v:rect>
            <v:rect id="_x0000_s1067" style="position:absolute;left:3117;top:791;width:415;height:423;mso-wrap-style:none" filled="f" stroked="f">
              <v:textbox style="mso-next-textbox:#_x0000_s1067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0,562</w:t>
                    </w:r>
                  </w:p>
                </w:txbxContent>
              </v:textbox>
            </v:rect>
            <v:rect id="_x0000_s1068" style="position:absolute;left:4113;top:930;width:415;height:422;mso-wrap-style:none" filled="f" stroked="f">
              <v:textbox style="mso-next-textbox:#_x0000_s1068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0,555</w:t>
                    </w:r>
                  </w:p>
                </w:txbxContent>
              </v:textbox>
            </v:rect>
            <v:rect id="_x0000_s1069" style="position:absolute;left:5302;top:759;width:416;height:422;mso-wrap-style:none" filled="f" stroked="f">
              <v:textbox style="mso-next-textbox:#_x0000_s1069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0,567</w:t>
                    </w:r>
                  </w:p>
                </w:txbxContent>
              </v:textbox>
            </v:rect>
            <v:rect id="_x0000_s1070" style="position:absolute;left:1457;top:492;width:415;height:423;mso-wrap-style:none" filled="f" stroked="f">
              <v:textbox style="mso-next-textbox:#_x0000_s1070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1,798</w:t>
                    </w:r>
                  </w:p>
                </w:txbxContent>
              </v:textbox>
            </v:rect>
            <v:rect id="_x0000_s1071" style="position:absolute;left:5270;top:396;width:415;height:422;mso-wrap-style:none" filled="f" stroked="f">
              <v:textbox style="mso-next-textbox:#_x0000_s1071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1,763</w:t>
                    </w:r>
                  </w:p>
                </w:txbxContent>
              </v:textbox>
            </v:rect>
            <v:rect id="_x0000_s1072" style="position:absolute;left:2560;top:919;width:416;height:422;mso-wrap-style:none" filled="f" stroked="f">
              <v:textbox style="mso-next-textbox:#_x0000_s1072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1,718</w:t>
                    </w:r>
                  </w:p>
                </w:txbxContent>
              </v:textbox>
            </v:rect>
            <v:rect id="_x0000_s1073" style="position:absolute;left:4477;top:353;width:416;height:422;mso-wrap-style:none" filled="f" stroked="f">
              <v:textbox style="mso-next-textbox:#_x0000_s1073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1,801</w:t>
                    </w:r>
                  </w:p>
                </w:txbxContent>
              </v:textbox>
            </v:rect>
            <v:rect id="_x0000_s1074" style="position:absolute;left:3245;top:385;width:416;height:423;mso-wrap-style:none" filled="f" stroked="f">
              <v:textbox style="mso-next-textbox:#_x0000_s1074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1,778</w:t>
                    </w:r>
                  </w:p>
                </w:txbxContent>
              </v:textbox>
            </v:rect>
            <v:rect id="_x0000_s1075" style="position:absolute;left:439;top:2074;width:324;height:423;mso-wrap-style:none" filled="f" stroked="f">
              <v:textbox style="mso-next-textbox:#_x0000_s1075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,50</w:t>
                    </w:r>
                    <w:proofErr w:type="gramEnd"/>
                  </w:p>
                </w:txbxContent>
              </v:textbox>
            </v:rect>
            <v:rect id="_x0000_s1076" style="position:absolute;left:439;top:1700;width:324;height:422;mso-wrap-style:none" filled="f" stroked="f">
              <v:textbox style="mso-next-textbox:#_x0000_s1076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,52</w:t>
                    </w:r>
                    <w:proofErr w:type="gramEnd"/>
                  </w:p>
                </w:txbxContent>
              </v:textbox>
            </v:rect>
            <v:rect id="_x0000_s1077" style="position:absolute;left:439;top:1326;width:324;height:422;mso-wrap-style:none" filled="f" stroked="f">
              <v:textbox style="mso-next-textbox:#_x0000_s1077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,54</w:t>
                    </w:r>
                    <w:proofErr w:type="gramEnd"/>
                  </w:p>
                </w:txbxContent>
              </v:textbox>
            </v:rect>
            <v:rect id="_x0000_s1078" style="position:absolute;left:439;top:962;width:324;height:423;mso-wrap-style:none" filled="f" stroked="f">
              <v:textbox style="mso-next-textbox:#_x0000_s1078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,56</w:t>
                    </w:r>
                    <w:proofErr w:type="gramEnd"/>
                  </w:p>
                </w:txbxContent>
              </v:textbox>
            </v:rect>
            <v:rect id="_x0000_s1079" style="position:absolute;left:439;top:588;width:324;height:422;mso-wrap-style:none" filled="f" stroked="f">
              <v:textbox style="mso-next-textbox:#_x0000_s1079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,58</w:t>
                    </w:r>
                    <w:proofErr w:type="gramEnd"/>
                  </w:p>
                </w:txbxContent>
              </v:textbox>
            </v:rect>
            <v:rect id="_x0000_s1080" style="position:absolute;left:439;top:214;width:324;height:423;mso-wrap-style:none" filled="f" stroked="f">
              <v:textbox style="mso-next-textbox:#_x0000_s1080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0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,60</w:t>
                    </w:r>
                    <w:proofErr w:type="gramEnd"/>
                  </w:p>
                </w:txbxContent>
              </v:textbox>
            </v:rect>
            <v:rect id="_x0000_s1081" style="position:absolute;left:1189;top:2331;width:371;height:422;mso-wrap-style:none" filled="f" stroked="f">
              <v:textbox style="mso-next-textbox:#_x0000_s1081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2002</w:t>
                    </w:r>
                  </w:p>
                </w:txbxContent>
              </v:textbox>
            </v:rect>
            <v:rect id="_x0000_s1082" style="position:absolute;left:2164;top:2331;width:371;height:422;mso-wrap-style:none" filled="f" stroked="f">
              <v:textbox style="mso-next-textbox:#_x0000_s1082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2003</w:t>
                    </w:r>
                  </w:p>
                </w:txbxContent>
              </v:textbox>
            </v:rect>
            <v:rect id="_x0000_s1083" style="position:absolute;left:3149;top:2331;width:371;height:422;mso-wrap-style:none" filled="f" stroked="f">
              <v:textbox style="mso-next-textbox:#_x0000_s1083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2004</w:t>
                    </w:r>
                  </w:p>
                </w:txbxContent>
              </v:textbox>
            </v:rect>
            <v:rect id="_x0000_s1084" style="position:absolute;left:4124;top:2331;width:371;height:422;mso-wrap-style:none" filled="f" stroked="f">
              <v:textbox style="mso-next-textbox:#_x0000_s1084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2005</w:t>
                    </w:r>
                  </w:p>
                </w:txbxContent>
              </v:textbox>
            </v:rect>
            <v:rect id="_x0000_s1085" style="position:absolute;left:5098;top:2331;width:371;height:422;mso-wrap-style:none" filled="f" stroked="f">
              <v:textbox style="mso-next-textbox:#_x0000_s1085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2006</w:t>
                    </w:r>
                  </w:p>
                </w:txbxContent>
              </v:textbox>
            </v:rect>
            <v:rect id="_x0000_s1086" style="position:absolute;left:80;top:245;width:715;height:692;rotation:270;mso-wrap-style:none" filled="f" stroked="f">
              <v:textbox style="layout-flow:vertical;mso-layout-flow-alt:bottom-to-top;mso-next-textbox:#_x0000_s1086;mso-fit-shape-to-text:t" inset="0,0,0,0">
                <w:txbxContent>
                  <w:p w:rsidR="009B78BE" w:rsidRPr="002865B6" w:rsidRDefault="009B78BE" w:rsidP="009B78BE">
                    <w:r>
                      <w:t>руб./руб.</w:t>
                    </w:r>
                  </w:p>
                </w:txbxContent>
              </v:textbox>
            </v:rect>
            <v:rect id="_x0000_s1087" style="position:absolute;left:-90;top:339;width:504;height:141;rotation:270;mso-wrap-style:none" filled="f" stroked="f">
              <v:textbox style="mso-next-textbox:#_x0000_s1087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</w:p>
                </w:txbxContent>
              </v:textbox>
            </v:rect>
            <v:rect id="_x0000_s1088" style="position:absolute;left:5891;top:2074;width:324;height:423;mso-wrap-style:none" filled="f" stroked="f">
              <v:textbox style="mso-next-textbox:#_x0000_s1088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,50</w:t>
                    </w:r>
                    <w:proofErr w:type="gramEnd"/>
                  </w:p>
                </w:txbxContent>
              </v:textbox>
            </v:rect>
            <v:rect id="_x0000_s1089" style="position:absolute;left:5891;top:1807;width:324;height:423;mso-wrap-style:none" filled="f" stroked="f">
              <v:textbox style="mso-next-textbox:#_x0000_s1089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,55</w:t>
                    </w:r>
                    <w:proofErr w:type="gramEnd"/>
                  </w:p>
                </w:txbxContent>
              </v:textbox>
            </v:rect>
            <v:rect id="_x0000_s1090" style="position:absolute;left:5891;top:1540;width:324;height:422;mso-wrap-style:none" filled="f" stroked="f">
              <v:textbox style="mso-next-textbox:#_x0000_s1090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,60</w:t>
                    </w:r>
                    <w:proofErr w:type="gramEnd"/>
                  </w:p>
                </w:txbxContent>
              </v:textbox>
            </v:rect>
            <v:rect id="_x0000_s1091" style="position:absolute;left:5891;top:1272;width:324;height:422;mso-wrap-style:none" filled="f" stroked="f">
              <v:textbox style="mso-next-textbox:#_x0000_s1091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,65</w:t>
                    </w:r>
                    <w:proofErr w:type="gramEnd"/>
                  </w:p>
                </w:txbxContent>
              </v:textbox>
            </v:rect>
            <v:rect id="_x0000_s1092" style="position:absolute;left:5891;top:1016;width:324;height:423;mso-wrap-style:none" filled="f" stroked="f">
              <v:textbox style="mso-next-textbox:#_x0000_s1092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,70</w:t>
                    </w:r>
                    <w:proofErr w:type="gramEnd"/>
                  </w:p>
                </w:txbxContent>
              </v:textbox>
            </v:rect>
            <v:rect id="_x0000_s1093" style="position:absolute;left:5891;top:748;width:324;height:422;mso-wrap-style:none" filled="f" stroked="f">
              <v:textbox style="mso-next-textbox:#_x0000_s1093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,75</w:t>
                    </w:r>
                    <w:proofErr w:type="gramEnd"/>
                  </w:p>
                </w:txbxContent>
              </v:textbox>
            </v:rect>
            <v:rect id="_x0000_s1094" style="position:absolute;left:5891;top:481;width:324;height:422;mso-wrap-style:none" filled="f" stroked="f">
              <v:textbox style="mso-next-textbox:#_x0000_s1094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,80</w:t>
                    </w:r>
                    <w:proofErr w:type="gramEnd"/>
                  </w:p>
                </w:txbxContent>
              </v:textbox>
            </v:rect>
            <v:rect id="_x0000_s1095" style="position:absolute;left:5891;top:214;width:324;height:423;mso-wrap-style:none" filled="f" stroked="f">
              <v:textbox style="mso-next-textbox:#_x0000_s1095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1</w:t>
                    </w:r>
                    <w:proofErr w:type="gram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,85</w:t>
                    </w:r>
                    <w:proofErr w:type="gramEnd"/>
                  </w:p>
                </w:txbxContent>
              </v:textbox>
            </v:rect>
            <v:rect id="_x0000_s1096" style="position:absolute;left:6154;top:365;width:422;height:107;rotation:270;mso-wrap-style:none" filled="f" stroked="f">
              <v:textbox style="mso-next-textbox:#_x0000_s1096;mso-fit-shape-to-text:t" inset="0,0,0,0">
                <w:txbxContent>
                  <w:p w:rsidR="009B78BE" w:rsidRPr="002865B6" w:rsidRDefault="009B78BE" w:rsidP="009B78BE"/>
                </w:txbxContent>
              </v:textbox>
            </v:rect>
            <v:rect id="_x0000_s1097" style="position:absolute;left:6129;top:335;width:503;height:141;rotation:270;mso-wrap-style:none" filled="f" stroked="f">
              <v:textbox style="mso-next-textbox:#_x0000_s1097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</w:p>
                </w:txbxContent>
              </v:textbox>
            </v:rect>
            <v:rect id="_x0000_s1098" style="position:absolute;left:6299;top:435;width:715;height:692;rotation:270;mso-wrap-style:none" filled="f" stroked="f">
              <v:textbox style="layout-flow:vertical;mso-layout-flow-alt:bottom-to-top;mso-next-textbox:#_x0000_s1098;mso-fit-shape-to-text:t" inset="0,0,0,0">
                <w:txbxContent>
                  <w:p w:rsidR="009B78BE" w:rsidRPr="002865B6" w:rsidRDefault="009B78BE" w:rsidP="009B78BE">
                    <w:r>
                      <w:t>руб./руб.</w:t>
                    </w:r>
                  </w:p>
                </w:txbxContent>
              </v:textbox>
            </v:rect>
            <v:rect id="_x0000_s1099" style="position:absolute;left:1542;top:2673;width:3546;height:267" stroked="f"/>
            <v:rect id="_x0000_s1100" style="position:absolute;left:1189;top:2727;width:301;height:96" fillcolor="#0cf" strokeweight=".55pt"/>
            <v:rect id="_x0000_s1101" style="position:absolute;left:1671;top:2673;width:1506;height:422;mso-wrap-style:none" filled="f" stroked="f">
              <v:textbox style="mso-next-textbox:#_x0000_s1101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proofErr w:type="spell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Материалоемкость</w:t>
                    </w:r>
                    <w:proofErr w:type="spellEnd"/>
                  </w:p>
                </w:txbxContent>
              </v:textbox>
            </v:rect>
            <v:line id="_x0000_s1102" style="position:absolute" from="3406,2823" to="3717,2824" strokecolor="navy" strokeweight="1.05pt"/>
            <v:shape id="_x0000_s1103" style="position:absolute;left:3502;top:2769;width:108;height:107" coordsize="108,107" path="m54,r54,54l54,107,,54,54,xe" fillcolor="navy" strokecolor="navy" strokeweight=".55pt">
              <v:path arrowok="t"/>
            </v:shape>
            <v:rect id="_x0000_s1104" style="position:absolute;left:3759;top:2716;width:1407;height:422;mso-wrap-style:none" filled="f" stroked="f">
              <v:textbox style="mso-next-textbox:#_x0000_s1104;mso-fit-shape-to-text:t" inset="0,0,0,0">
                <w:txbxContent>
                  <w:p w:rsidR="009B78BE" w:rsidRPr="002865B6" w:rsidRDefault="009B78BE" w:rsidP="009B78BE">
                    <w:pPr>
                      <w:rPr>
                        <w:sz w:val="29"/>
                      </w:rPr>
                    </w:pPr>
                    <w:proofErr w:type="spellStart"/>
                    <w:r w:rsidRPr="002865B6">
                      <w:rPr>
                        <w:color w:val="000000"/>
                        <w:szCs w:val="18"/>
                        <w:lang w:val="en-US"/>
                      </w:rPr>
                      <w:t>Материалоотдача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9B78BE" w:rsidRPr="009B78BE" w:rsidRDefault="009B78BE" w:rsidP="009B78BE">
      <w:pPr>
        <w:pStyle w:val="a3"/>
        <w:ind w:firstLine="0"/>
        <w:jc w:val="center"/>
        <w:rPr>
          <w:sz w:val="24"/>
          <w:szCs w:val="24"/>
        </w:rPr>
      </w:pPr>
      <w:r w:rsidRPr="009B78BE">
        <w:rPr>
          <w:sz w:val="24"/>
          <w:szCs w:val="24"/>
        </w:rPr>
        <w:t>Рис. 2.26. Показатели использования материальных ресурсов</w:t>
      </w:r>
    </w:p>
    <w:p w:rsidR="009B78BE" w:rsidRPr="009B78BE" w:rsidRDefault="009B78BE" w:rsidP="009B78BE">
      <w:pPr>
        <w:pStyle w:val="a3"/>
        <w:ind w:firstLine="540"/>
        <w:jc w:val="both"/>
        <w:rPr>
          <w:sz w:val="24"/>
          <w:szCs w:val="24"/>
        </w:rPr>
      </w:pP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9B78BE">
        <w:rPr>
          <w:b/>
          <w:sz w:val="24"/>
          <w:szCs w:val="24"/>
        </w:rPr>
        <w:lastRenderedPageBreak/>
        <w:t>Материалоотдача</w:t>
      </w:r>
      <w:proofErr w:type="spellEnd"/>
      <w:proofErr w:type="gramStart"/>
      <w:r w:rsidRPr="009B78BE">
        <w:rPr>
          <w:b/>
          <w:sz w:val="24"/>
          <w:szCs w:val="24"/>
        </w:rPr>
        <w:t xml:space="preserve"> </w:t>
      </w:r>
      <w:r w:rsidRPr="009B78BE">
        <w:rPr>
          <w:sz w:val="24"/>
          <w:szCs w:val="24"/>
        </w:rPr>
        <w:t>(</w:t>
      </w:r>
      <w:r w:rsidRPr="009B78BE">
        <w:rPr>
          <w:position w:val="-12"/>
          <w:sz w:val="24"/>
          <w:szCs w:val="24"/>
        </w:rPr>
        <w:object w:dxaOrig="520" w:dyaOrig="360">
          <v:shape id="_x0000_i1029" type="#_x0000_t75" style="width:26.25pt;height:18pt" o:ole="">
            <v:imagedata r:id="rId11" o:title=""/>
          </v:shape>
          <o:OLEObject Type="Embed" ProgID="Equation.3" ShapeID="_x0000_i1029" DrawAspect="Content" ObjectID="_1696239197" r:id="rId12"/>
        </w:object>
      </w:r>
      <w:r w:rsidRPr="009B78BE">
        <w:rPr>
          <w:sz w:val="24"/>
          <w:szCs w:val="24"/>
        </w:rPr>
        <w:t xml:space="preserve">) – </w:t>
      </w:r>
      <w:proofErr w:type="gramEnd"/>
      <w:r w:rsidRPr="009B78BE">
        <w:rPr>
          <w:sz w:val="24"/>
          <w:szCs w:val="24"/>
        </w:rPr>
        <w:t>это показатель, обратный материалоемкости, показывает, сколько выполнено СМР в денежном выражении на один рубль материальных затрат</w:t>
      </w:r>
    </w:p>
    <w:p w:rsidR="009B78BE" w:rsidRPr="009B78BE" w:rsidRDefault="009B78BE" w:rsidP="009B78BE">
      <w:pPr>
        <w:pStyle w:val="a3"/>
        <w:ind w:firstLine="709"/>
        <w:jc w:val="center"/>
        <w:rPr>
          <w:sz w:val="24"/>
          <w:szCs w:val="24"/>
        </w:rPr>
      </w:pPr>
      <w:r w:rsidRPr="009B78BE">
        <w:rPr>
          <w:position w:val="-24"/>
          <w:sz w:val="24"/>
          <w:szCs w:val="24"/>
        </w:rPr>
        <w:object w:dxaOrig="1340" w:dyaOrig="639">
          <v:shape id="_x0000_i1030" type="#_x0000_t75" style="width:66.75pt;height:32.25pt" o:ole="">
            <v:imagedata r:id="rId13" o:title=""/>
          </v:shape>
          <o:OLEObject Type="Embed" ProgID="Equation.3" ShapeID="_x0000_i1030" DrawAspect="Content" ObjectID="_1696239198" r:id="rId14"/>
        </w:object>
      </w:r>
      <w:r w:rsidRPr="009B78BE">
        <w:rPr>
          <w:sz w:val="24"/>
          <w:szCs w:val="24"/>
        </w:rPr>
        <w:t>.</w:t>
      </w: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sz w:val="24"/>
          <w:szCs w:val="24"/>
        </w:rPr>
        <w:t xml:space="preserve">Материалоемкость работ на конец анализируемого периода составила 0,567 руб./руб. Динамика </w:t>
      </w:r>
      <w:proofErr w:type="spellStart"/>
      <w:r w:rsidRPr="009B78BE">
        <w:rPr>
          <w:sz w:val="24"/>
          <w:szCs w:val="24"/>
        </w:rPr>
        <w:t>материалоотдачи</w:t>
      </w:r>
      <w:proofErr w:type="spellEnd"/>
      <w:r w:rsidRPr="009B78BE">
        <w:rPr>
          <w:sz w:val="24"/>
          <w:szCs w:val="24"/>
        </w:rPr>
        <w:t xml:space="preserve"> показывает, что эффективность использования материальных ресурсов несколько снизилась в 2003 и 2006 годах. Это вызвано превышением темпов роста материальных затрат по сравнению с темпами роста стоимости выполненных работ.</w:t>
      </w:r>
    </w:p>
    <w:p w:rsidR="009B78BE" w:rsidRPr="009B78BE" w:rsidRDefault="009B78BE" w:rsidP="009B78BE">
      <w:pPr>
        <w:pStyle w:val="a3"/>
        <w:ind w:firstLine="0"/>
        <w:jc w:val="center"/>
        <w:rPr>
          <w:sz w:val="24"/>
          <w:szCs w:val="24"/>
        </w:rPr>
      </w:pPr>
      <w:r w:rsidRPr="009B78BE">
        <w:rPr>
          <w:sz w:val="24"/>
          <w:szCs w:val="24"/>
        </w:rPr>
        <w:object w:dxaOrig="6689" w:dyaOrig="5234">
          <v:shape id="_x0000_i1031" type="#_x0000_t75" style="width:444.75pt;height:405pt" o:ole="">
            <v:imagedata r:id="rId15" o:title=""/>
          </v:shape>
          <o:OLEObject Type="Embed" ProgID="Word.Picture.8" ShapeID="_x0000_i1031" DrawAspect="Content" ObjectID="_1696239199" r:id="rId16"/>
        </w:object>
      </w:r>
      <w:r>
        <w:rPr>
          <w:sz w:val="24"/>
          <w:szCs w:val="24"/>
        </w:rPr>
        <w:t xml:space="preserve"> </w:t>
      </w:r>
      <w:r w:rsidRPr="009B78BE">
        <w:rPr>
          <w:sz w:val="24"/>
          <w:szCs w:val="24"/>
        </w:rPr>
        <w:t>Рис. 2.27. Структурно-логическая модель изменения материальных затрат</w:t>
      </w:r>
    </w:p>
    <w:p w:rsidR="009B78BE" w:rsidRPr="009B78BE" w:rsidRDefault="009B78BE" w:rsidP="009B78BE">
      <w:pPr>
        <w:pStyle w:val="a3"/>
        <w:ind w:firstLine="0"/>
        <w:jc w:val="center"/>
        <w:rPr>
          <w:sz w:val="24"/>
          <w:szCs w:val="24"/>
        </w:rPr>
      </w:pPr>
      <w:r w:rsidRPr="009B78BE">
        <w:rPr>
          <w:sz w:val="24"/>
          <w:szCs w:val="24"/>
        </w:rPr>
        <w:t>в зависимости от различных факторов</w:t>
      </w:r>
    </w:p>
    <w:p w:rsidR="009B78BE" w:rsidRPr="009B78BE" w:rsidRDefault="009B78BE" w:rsidP="009B78BE">
      <w:pPr>
        <w:pStyle w:val="a3"/>
        <w:ind w:firstLine="0"/>
        <w:jc w:val="right"/>
        <w:rPr>
          <w:sz w:val="24"/>
          <w:szCs w:val="24"/>
        </w:rPr>
      </w:pP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sz w:val="24"/>
          <w:szCs w:val="24"/>
        </w:rPr>
        <w:t>Для исследования причин изменения материальных затрат необходимо выполнить факторный анализ. На рис. 2.27 представлена структурно-логическая модель факторного анализа материальных затрат, предложенная в учебном пособии под редакцией Н.П. Любушина [16, с. 230]. В схему внесены дополнения применительно к строительной продукции.</w:t>
      </w: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b/>
          <w:sz w:val="24"/>
          <w:szCs w:val="24"/>
        </w:rPr>
        <w:t>Анализ структуры материальных затрат</w:t>
      </w:r>
      <w:r w:rsidRPr="009B78BE">
        <w:rPr>
          <w:sz w:val="24"/>
          <w:szCs w:val="24"/>
        </w:rPr>
        <w:t xml:space="preserve"> предполагает определение доли отдельных видов материальных затрат в общей стоимости МЗ. Данные о составе материальных затрат отражаются в форме № 5-з. Пример анализа состава и структуры материальных затрат представлен в табл. 2.72.</w:t>
      </w:r>
    </w:p>
    <w:p w:rsidR="009B78BE" w:rsidRDefault="009B78BE" w:rsidP="009B78BE">
      <w:pPr>
        <w:pStyle w:val="a3"/>
        <w:ind w:firstLine="0"/>
        <w:jc w:val="right"/>
        <w:rPr>
          <w:i/>
          <w:sz w:val="24"/>
          <w:szCs w:val="24"/>
        </w:rPr>
      </w:pPr>
    </w:p>
    <w:p w:rsidR="009B78BE" w:rsidRDefault="009B78BE" w:rsidP="009B78BE">
      <w:pPr>
        <w:pStyle w:val="a3"/>
        <w:ind w:firstLine="0"/>
        <w:jc w:val="right"/>
        <w:rPr>
          <w:i/>
          <w:sz w:val="24"/>
          <w:szCs w:val="24"/>
        </w:rPr>
      </w:pPr>
    </w:p>
    <w:p w:rsidR="009B78BE" w:rsidRPr="009B78BE" w:rsidRDefault="009B78BE" w:rsidP="009B78BE">
      <w:pPr>
        <w:pStyle w:val="a3"/>
        <w:ind w:firstLine="0"/>
        <w:jc w:val="right"/>
        <w:rPr>
          <w:i/>
          <w:sz w:val="24"/>
          <w:szCs w:val="24"/>
        </w:rPr>
      </w:pPr>
      <w:r w:rsidRPr="009B78BE">
        <w:rPr>
          <w:i/>
          <w:sz w:val="24"/>
          <w:szCs w:val="24"/>
        </w:rPr>
        <w:lastRenderedPageBreak/>
        <w:t>Таблица 2.72</w:t>
      </w:r>
    </w:p>
    <w:p w:rsidR="009B78BE" w:rsidRPr="009B78BE" w:rsidRDefault="009B78BE" w:rsidP="009B78BE">
      <w:pPr>
        <w:pStyle w:val="a5"/>
        <w:spacing w:after="0"/>
        <w:rPr>
          <w:b w:val="0"/>
          <w:sz w:val="24"/>
          <w:szCs w:val="24"/>
        </w:rPr>
      </w:pPr>
      <w:r w:rsidRPr="009B78BE">
        <w:rPr>
          <w:b w:val="0"/>
          <w:sz w:val="24"/>
          <w:szCs w:val="24"/>
        </w:rPr>
        <w:t>Анализ состава и структуры материальных затрат</w:t>
      </w:r>
    </w:p>
    <w:tbl>
      <w:tblPr>
        <w:tblW w:w="7775" w:type="dxa"/>
        <w:jc w:val="center"/>
        <w:tblInd w:w="-290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2565"/>
        <w:gridCol w:w="1148"/>
        <w:gridCol w:w="540"/>
        <w:gridCol w:w="1182"/>
        <w:gridCol w:w="540"/>
        <w:gridCol w:w="1080"/>
        <w:gridCol w:w="720"/>
      </w:tblGrid>
      <w:tr w:rsidR="009B78BE" w:rsidRPr="009B78BE" w:rsidTr="00B01079">
        <w:trPr>
          <w:trHeight w:val="255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 xml:space="preserve">   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224467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322250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97783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сырье и материалы</w:t>
            </w: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161616,2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225575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63958,76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 xml:space="preserve">   электроэнергия</w:t>
            </w: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8978,68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19335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10356,32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22446,7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38670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16223,3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8BE" w:rsidRPr="009B78BE" w:rsidTr="00B01079">
        <w:trPr>
          <w:trHeight w:val="255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 xml:space="preserve">   вода</w:t>
            </w: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3367,005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6445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3077,995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78BE" w:rsidRPr="009B78BE" w:rsidTr="00B01079">
        <w:trPr>
          <w:trHeight w:val="289"/>
          <w:jc w:val="center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8BE" w:rsidRPr="009B78BE" w:rsidRDefault="009B78BE" w:rsidP="009B7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 xml:space="preserve">   прочие материалы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28058,38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32225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4166,625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8BE" w:rsidRPr="009B78BE" w:rsidRDefault="009B78BE" w:rsidP="009B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BE">
              <w:rPr>
                <w:rFonts w:ascii="Times New Roman" w:hAnsi="Times New Roman" w:cs="Times New Roman"/>
                <w:sz w:val="24"/>
                <w:szCs w:val="24"/>
              </w:rPr>
              <w:t>–2,5</w:t>
            </w:r>
          </w:p>
        </w:tc>
      </w:tr>
    </w:tbl>
    <w:p w:rsidR="009B78BE" w:rsidRPr="009B78BE" w:rsidRDefault="009B78BE" w:rsidP="009B78BE">
      <w:pPr>
        <w:pStyle w:val="a3"/>
        <w:ind w:firstLine="540"/>
        <w:jc w:val="both"/>
        <w:rPr>
          <w:sz w:val="24"/>
          <w:szCs w:val="24"/>
        </w:rPr>
      </w:pPr>
    </w:p>
    <w:p w:rsidR="009B78BE" w:rsidRPr="009B78BE" w:rsidRDefault="009B78BE" w:rsidP="009B78BE">
      <w:pPr>
        <w:pStyle w:val="a3"/>
        <w:ind w:firstLine="709"/>
        <w:jc w:val="both"/>
        <w:rPr>
          <w:sz w:val="24"/>
          <w:szCs w:val="24"/>
        </w:rPr>
      </w:pPr>
      <w:r w:rsidRPr="009B78BE">
        <w:rPr>
          <w:sz w:val="24"/>
          <w:szCs w:val="24"/>
        </w:rPr>
        <w:t>По данным таблицы видно, что за анализируемый период произошло абсолютное увеличение всех элементов материальных затрат. В целом материальные затраты увеличились на 4166,625 тыс. руб. Большую долю в составе материальных затрат занимают основные сырье и материалы: 72% в 2005 году и 70% в 2006 году. Доля затрат на тепловую и электрическую энергию составила соответственно 14% и 18%, увеличение вызвано ростом цен на энергетические ресурсы.</w:t>
      </w:r>
    </w:p>
    <w:p w:rsidR="00154882" w:rsidRDefault="00154882" w:rsidP="009B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402" w:rsidRDefault="00BD2402" w:rsidP="00BD2402">
      <w:pPr>
        <w:pStyle w:val="3"/>
      </w:pPr>
      <w:r>
        <w:rPr>
          <w:b w:val="0"/>
          <w:bCs w:val="0"/>
        </w:rPr>
        <w:t>Коэффициент ритмичности производства продукции</w:t>
      </w:r>
    </w:p>
    <w:p w:rsidR="00BD2402" w:rsidRDefault="00BD2402" w:rsidP="00BD2402">
      <w:pPr>
        <w:pStyle w:val="a6"/>
      </w:pPr>
      <w:r>
        <w:t>Это од</w:t>
      </w:r>
      <w:bookmarkStart w:id="1" w:name="_GoBack"/>
      <w:bookmarkEnd w:id="1"/>
      <w:r>
        <w:t xml:space="preserve">ин из самых популярных индикаторов, чаще прочих используемый аналитиками. </w:t>
      </w:r>
      <w:r>
        <w:rPr>
          <w:b/>
          <w:bCs/>
        </w:rPr>
        <w:t>Считается он как отношение фактически произведенных товаров к аналогичному плановому показателю.</w:t>
      </w:r>
      <w:r>
        <w:t> </w:t>
      </w:r>
    </w:p>
    <w:p w:rsidR="00BD2402" w:rsidRDefault="00BD2402" w:rsidP="00BD2402">
      <w:pPr>
        <w:pStyle w:val="a6"/>
      </w:pPr>
      <w:r>
        <w:rPr>
          <w:b/>
          <w:bCs/>
        </w:rPr>
        <w:t>Важно!</w:t>
      </w:r>
      <w:r>
        <w:t xml:space="preserve"> Фактическая величина берется не в полном объеме, а именно в пределах установленного планом задания. Формула выглядит следующим образом:</w:t>
      </w:r>
    </w:p>
    <w:p w:rsidR="00BD2402" w:rsidRDefault="00BD2402" w:rsidP="00BD2402">
      <w:pPr>
        <w:pStyle w:val="a6"/>
        <w:jc w:val="center"/>
      </w:pPr>
      <w:proofErr w:type="spellStart"/>
      <w:proofErr w:type="gramStart"/>
      <w:r>
        <w:rPr>
          <w:rStyle w:val="a7"/>
        </w:rPr>
        <w:t>Кр</w:t>
      </w:r>
      <w:proofErr w:type="spellEnd"/>
      <w:proofErr w:type="gramEnd"/>
      <w:r>
        <w:rPr>
          <w:rStyle w:val="a7"/>
        </w:rPr>
        <w:t xml:space="preserve"> = ∑(</w:t>
      </w:r>
      <w:proofErr w:type="spellStart"/>
      <w:r>
        <w:rPr>
          <w:rStyle w:val="a7"/>
        </w:rPr>
        <w:t>ВПплi</w:t>
      </w:r>
      <w:proofErr w:type="spellEnd"/>
      <w:r>
        <w:rPr>
          <w:rStyle w:val="a7"/>
        </w:rPr>
        <w:t xml:space="preserve"> – </w:t>
      </w:r>
      <w:proofErr w:type="spellStart"/>
      <w:r>
        <w:rPr>
          <w:rStyle w:val="a7"/>
        </w:rPr>
        <w:t>Впнi</w:t>
      </w:r>
      <w:proofErr w:type="spellEnd"/>
      <w:r>
        <w:rPr>
          <w:rStyle w:val="a7"/>
        </w:rPr>
        <w:t>)/∑</w:t>
      </w:r>
      <w:proofErr w:type="spellStart"/>
      <w:r>
        <w:rPr>
          <w:rStyle w:val="a7"/>
        </w:rPr>
        <w:t>ВПплi</w:t>
      </w:r>
      <w:proofErr w:type="spellEnd"/>
      <w:r>
        <w:t>, где</w:t>
      </w:r>
    </w:p>
    <w:p w:rsidR="00BD2402" w:rsidRDefault="00BD2402" w:rsidP="00BD2402">
      <w:pPr>
        <w:pStyle w:val="a6"/>
      </w:pPr>
      <w:proofErr w:type="spellStart"/>
      <w:r>
        <w:t>ВПпл</w:t>
      </w:r>
      <w:proofErr w:type="gramStart"/>
      <w:r>
        <w:t>i</w:t>
      </w:r>
      <w:proofErr w:type="spellEnd"/>
      <w:proofErr w:type="gramEnd"/>
      <w:r>
        <w:t xml:space="preserve"> – выпуск продуктов в i-м периоде в соответствии с плановым заданием;</w:t>
      </w:r>
    </w:p>
    <w:p w:rsidR="00BD2402" w:rsidRDefault="00BD2402" w:rsidP="00BD2402">
      <w:pPr>
        <w:pStyle w:val="a6"/>
      </w:pPr>
      <w:proofErr w:type="spellStart"/>
      <w:r>
        <w:t>ВПн</w:t>
      </w:r>
      <w:proofErr w:type="gramStart"/>
      <w:r>
        <w:t>i</w:t>
      </w:r>
      <w:proofErr w:type="spellEnd"/>
      <w:proofErr w:type="gramEnd"/>
      <w:r>
        <w:t>  — размер недовыполнения плана в периоде i. </w:t>
      </w:r>
    </w:p>
    <w:p w:rsidR="00BD2402" w:rsidRDefault="00BD2402" w:rsidP="00BD2402">
      <w:pPr>
        <w:pStyle w:val="a6"/>
      </w:pPr>
      <w:r>
        <w:t xml:space="preserve">Чем </w:t>
      </w:r>
      <w:proofErr w:type="gramStart"/>
      <w:r>
        <w:t>большее</w:t>
      </w:r>
      <w:proofErr w:type="gramEnd"/>
      <w:r>
        <w:t xml:space="preserve"> полученное в результате использования этой формулы число отличается от 100, тем менее ритмично функционирует производство. Определяющий смысл имеет сравнение этого показателя за разные периоды.</w:t>
      </w:r>
    </w:p>
    <w:p w:rsidR="00BD2402" w:rsidRDefault="00BD2402" w:rsidP="00BD2402">
      <w:pPr>
        <w:pStyle w:val="a6"/>
      </w:pPr>
      <w:r>
        <w:t>Рассмотрим расчет и анализ данного индикатора на примере.</w:t>
      </w:r>
    </w:p>
    <w:p w:rsidR="00BD2402" w:rsidRDefault="00BD2402" w:rsidP="00BD2402">
      <w:pPr>
        <w:pStyle w:val="a6"/>
      </w:pPr>
      <w:r>
        <w:t>Пример. Данные работ</w:t>
      </w:r>
      <w:proofErr w:type="gramStart"/>
      <w:r>
        <w:t>ы ООО</w:t>
      </w:r>
      <w:proofErr w:type="gramEnd"/>
      <w:r>
        <w:t xml:space="preserve"> «Эллипс» за 3 временных отрезка 2019 года приведены в таблице.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576"/>
        <w:gridCol w:w="576"/>
        <w:gridCol w:w="2088"/>
      </w:tblGrid>
      <w:tr w:rsidR="00BD2402" w:rsidTr="00BD240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rPr>
                <w:rStyle w:val="a7"/>
              </w:rPr>
              <w:t>Декады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rPr>
                <w:rStyle w:val="a7"/>
              </w:rPr>
              <w:t>Выпуск продукции, тыс. руб.</w:t>
            </w:r>
          </w:p>
        </w:tc>
      </w:tr>
      <w:tr w:rsidR="00BD2402" w:rsidTr="00BD24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2402" w:rsidRDefault="00BD24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rPr>
                <w:rStyle w:val="a7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rPr>
                <w:rStyle w:val="a7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rPr>
                <w:rStyle w:val="a7"/>
              </w:rPr>
              <w:t>Факт в рамках плана</w:t>
            </w:r>
          </w:p>
        </w:tc>
      </w:tr>
      <w:tr w:rsidR="00BD2402" w:rsidTr="00BD2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1 100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</w:tr>
      <w:tr w:rsidR="00BD2402" w:rsidTr="00BD2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1 200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700</w:t>
            </w:r>
          </w:p>
        </w:tc>
      </w:tr>
      <w:tr w:rsidR="00BD2402" w:rsidTr="00BD2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1 300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2 100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1 300</w:t>
            </w:r>
          </w:p>
        </w:tc>
      </w:tr>
      <w:tr w:rsidR="00BD2402" w:rsidTr="00BD2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3 600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3 400</w:t>
            </w:r>
          </w:p>
        </w:tc>
        <w:tc>
          <w:tcPr>
            <w:tcW w:w="0" w:type="auto"/>
            <w:vAlign w:val="center"/>
            <w:hideMark/>
          </w:tcPr>
          <w:p w:rsidR="00BD2402" w:rsidRDefault="00BD2402">
            <w:pPr>
              <w:jc w:val="center"/>
              <w:rPr>
                <w:sz w:val="24"/>
                <w:szCs w:val="24"/>
              </w:rPr>
            </w:pPr>
            <w:r>
              <w:t>2 600</w:t>
            </w:r>
          </w:p>
        </w:tc>
      </w:tr>
    </w:tbl>
    <w:p w:rsidR="00BD2402" w:rsidRDefault="00BD2402" w:rsidP="00BD2402">
      <w:pPr>
        <w:pStyle w:val="a6"/>
      </w:pPr>
      <w:r>
        <w:t>Коэффициент ритмичности эквивалентен: 2 600/3 600 = 0.72. То есть всего 72% изделий было произведено без нарушения планового задания. </w:t>
      </w:r>
    </w:p>
    <w:p w:rsidR="00BD2402" w:rsidRDefault="00BD2402" w:rsidP="00BD2402">
      <w:pPr>
        <w:pStyle w:val="a6"/>
      </w:pPr>
      <w:r>
        <w:t xml:space="preserve">Теперь рассчитаем, </w:t>
      </w:r>
      <w:proofErr w:type="gramStart"/>
      <w:r>
        <w:t>на сколько</w:t>
      </w:r>
      <w:proofErr w:type="gramEnd"/>
      <w:r>
        <w:t xml:space="preserve"> может возрасти производственный объем, если компания будет работать ритмично:</w:t>
      </w:r>
    </w:p>
    <w:p w:rsidR="00BD2402" w:rsidRDefault="00BD2402" w:rsidP="00BD2402">
      <w:pPr>
        <w:pStyle w:val="a6"/>
        <w:jc w:val="center"/>
      </w:pPr>
      <w:r>
        <w:rPr>
          <w:rStyle w:val="a7"/>
        </w:rPr>
        <w:t>(3 600 (100 — 72)</w:t>
      </w:r>
      <w:proofErr w:type="gramStart"/>
      <w:r>
        <w:rPr>
          <w:rStyle w:val="a7"/>
        </w:rPr>
        <w:t xml:space="preserve"> )</w:t>
      </w:r>
      <w:proofErr w:type="gramEnd"/>
      <w:r>
        <w:rPr>
          <w:rStyle w:val="a7"/>
        </w:rPr>
        <w:t>/100 = 1 008 тыс. рублей. </w:t>
      </w:r>
    </w:p>
    <w:p w:rsidR="00BD2402" w:rsidRPr="009B78BE" w:rsidRDefault="00BD2402" w:rsidP="009B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2402" w:rsidRPr="009B78BE" w:rsidSect="009B78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8BE"/>
    <w:rsid w:val="00154882"/>
    <w:rsid w:val="009B78BE"/>
    <w:rsid w:val="00B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B78BE"/>
    <w:pPr>
      <w:keepNext/>
      <w:spacing w:after="0" w:line="240" w:lineRule="auto"/>
      <w:ind w:left="936" w:hanging="397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78BE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a3">
    <w:name w:val="Body Text Indent"/>
    <w:basedOn w:val="a"/>
    <w:link w:val="a4"/>
    <w:rsid w:val="009B78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B78BE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Табл"/>
    <w:basedOn w:val="a3"/>
    <w:rsid w:val="009B78BE"/>
    <w:pPr>
      <w:spacing w:after="120"/>
      <w:ind w:firstLine="0"/>
      <w:jc w:val="center"/>
    </w:pPr>
    <w:rPr>
      <w:b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BD24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BD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D24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Масевнина</cp:lastModifiedBy>
  <cp:revision>3</cp:revision>
  <dcterms:created xsi:type="dcterms:W3CDTF">2018-10-03T16:34:00Z</dcterms:created>
  <dcterms:modified xsi:type="dcterms:W3CDTF">2021-10-20T09:47:00Z</dcterms:modified>
</cp:coreProperties>
</file>