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5" w:rsidRPr="00EB5135" w:rsidRDefault="00EB5135" w:rsidP="00EB5135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Классификация и анализ показателей рентабельности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Показатели рентабельности более полно, чем прибыль, характеризуют окончательные результаты хозяйствования, потому что их величина показывает соотношение эффекта с наличными или использованными ресурсами. Их применяют для оценки деятельности компании и как инструмент инвестиционной политики и ценообразования.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Различают следующие виды показателей рентабельности: 1) рентабельность (окупаемость) затрат производства и инвестиционных проектов; 2) рентабельность продаж; 3) доходность капитала и его частей.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Все эти показатели могут рассчитываться па основе балансовой прибыли, прибыли от реализации продукции и чистой прибыли (табл. 8.1).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Таблица 8.1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Матрица расчета показателей рентабельности</w:t>
      </w:r>
    </w:p>
    <w:p w:rsidR="00EB5135" w:rsidRPr="00EB5135" w:rsidRDefault="00EB5135" w:rsidP="00EB513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941"/>
        <w:gridCol w:w="558"/>
        <w:gridCol w:w="558"/>
        <w:gridCol w:w="727"/>
        <w:gridCol w:w="727"/>
        <w:gridCol w:w="2136"/>
        <w:gridCol w:w="1116"/>
      </w:tblGrid>
      <w:tr w:rsidR="00EB5135" w:rsidRPr="00EB5135" w:rsidTr="00EB51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Показатель рентабельности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Знаменатель в формуле рентабельности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Числитель в формуле рентабельности</w:t>
            </w:r>
          </w:p>
        </w:tc>
      </w:tr>
      <w:tr w:rsidR="00EB5135" w:rsidRPr="00EB5135" w:rsidTr="00EB51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валовая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прибыль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прибыль от реализации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прибыль до налогообложения (балансовая)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чистая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прибыль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Рентабельность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Себестоимость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Рентабельность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Полная себестоимость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Рентабельность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продаж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Выручка от реализации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  <w:tr w:rsidR="00EB5135" w:rsidRPr="00EB5135" w:rsidTr="00EB51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Рентабельность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Основные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фонды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+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  <w:tr w:rsidR="00EB5135" w:rsidRPr="00EB5135" w:rsidTr="00EB51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Оборотные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средства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  <w:tr w:rsidR="00EB5135" w:rsidRPr="00EB5135" w:rsidTr="00EB51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Капитал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Рентабельность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собственного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капитала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Собственный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капитал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+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Рентабельность трудовых затрат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Фонд заработной 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lang w:eastAsia="ru-RU"/>
              </w:rPr>
              <w:t>+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lang w:eastAsia="ru-RU"/>
              </w:rPr>
            </w:pPr>
          </w:p>
        </w:tc>
      </w:tr>
    </w:tbl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Приведенные показатели зависят от множества факторов и существенно изменяются в зависимости от профиля, размера, структуры активов и источников средств компании, поэтому целесообразно анализировать тенденции их изменения во временном периоде.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lastRenderedPageBreak/>
        <w:t>Российский опыт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 рис. 8.6 представлено изменение рентабельности проданных товаров, продукции (работ, услуг) компаний в России за 1996 -2013 гг.</w:t>
      </w:r>
      <w:hyperlink r:id="rId6" w:anchor="gads_btm" w:history="1">
        <w:r w:rsidRPr="00EB5135">
          <w:rPr>
            <w:rFonts w:ascii="Times New Roman" w:eastAsia="Times New Roman" w:hAnsi="Times New Roman" w:cs="Times New Roman"/>
            <w:color w:val="1FA2D6"/>
            <w:sz w:val="28"/>
            <w:szCs w:val="28"/>
            <w:vertAlign w:val="superscript"/>
            <w:lang w:eastAsia="ru-RU"/>
          </w:rPr>
          <w:t>[1]</w:t>
        </w:r>
      </w:hyperlink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noProof/>
          <w:color w:val="373D3F"/>
          <w:sz w:val="28"/>
          <w:szCs w:val="28"/>
          <w:lang w:eastAsia="ru-RU"/>
        </w:rPr>
        <w:drawing>
          <wp:inline distT="0" distB="0" distL="0" distR="0" wp14:anchorId="5EB4FDD6" wp14:editId="607ADFF8">
            <wp:extent cx="4051935" cy="2380615"/>
            <wp:effectExtent l="0" t="0" r="5715" b="635"/>
            <wp:docPr id="25" name="Рисунок 25" descr="Рентабельность проданных товаров, продукции (работ, услуг) компаний в России за 1996–2013 гг., 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ентабельность проданных товаров, продукции (работ, услуг) компаний в России за 1996–2013 гг., 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Год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Рис. 8.6.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Рентабельность проданных товаров, продукции (работ, услуг) компаний в России за 1996–2013 гг., </w:t>
      </w:r>
      <w:r w:rsidRPr="00EB5135">
        <w:rPr>
          <w:rFonts w:ascii="Times New Roman" w:eastAsia="Times New Roman" w:hAnsi="Times New Roman" w:cs="Times New Roman"/>
          <w:b/>
          <w:bCs/>
          <w:i/>
          <w:iCs/>
          <w:color w:val="373D3F"/>
          <w:sz w:val="28"/>
          <w:szCs w:val="28"/>
          <w:lang w:eastAsia="ru-RU"/>
        </w:rPr>
        <w:t>%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 видам экономической деятельности показатель рентабельности в России колеблется от 0,1 до 35,7% (табл. 8.2)</w:t>
      </w:r>
      <w:hyperlink r:id="rId8" w:anchor="gads_btm" w:history="1">
        <w:r w:rsidRPr="00EB5135">
          <w:rPr>
            <w:rFonts w:ascii="Times New Roman" w:eastAsia="Times New Roman" w:hAnsi="Times New Roman" w:cs="Times New Roman"/>
            <w:color w:val="1FA2D6"/>
            <w:sz w:val="28"/>
            <w:szCs w:val="28"/>
            <w:vertAlign w:val="superscript"/>
            <w:lang w:eastAsia="ru-RU"/>
          </w:rPr>
          <w:t>[2]</w:t>
        </w:r>
      </w:hyperlink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Таблица 8.2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Средняя рентабельность проданных товаров, продукции (работ, услуг) и рентабельность активов организаций по видам экономической деятельности в России в 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2003–2014 гг., </w:t>
      </w: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%</w:t>
      </w:r>
    </w:p>
    <w:p w:rsidR="00EB5135" w:rsidRPr="00EB5135" w:rsidRDefault="00EB5135" w:rsidP="00EB513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</w:p>
    <w:tbl>
      <w:tblPr>
        <w:tblW w:w="0" w:type="auto"/>
        <w:tblInd w:w="-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112"/>
        <w:gridCol w:w="1113"/>
        <w:gridCol w:w="1113"/>
        <w:gridCol w:w="1113"/>
        <w:gridCol w:w="1113"/>
        <w:gridCol w:w="1113"/>
        <w:gridCol w:w="1113"/>
        <w:gridCol w:w="1113"/>
      </w:tblGrid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2014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проданных товаров, продукции (работ, услуг)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проданных товаров, продукции (работ, услуг)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проданных товаров, продукции (работ</w:t>
            </w:r>
            <w:proofErr w:type="gramStart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.</w:t>
            </w:r>
            <w:proofErr w:type="gramEnd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у</w:t>
            </w:r>
            <w:proofErr w:type="gramEnd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слуг)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проданных товаров, продукции (работ, услуг)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Рентабельность активов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Всего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b/>
                <w:bCs/>
                <w:color w:val="373D3F"/>
                <w:sz w:val="20"/>
                <w:szCs w:val="20"/>
                <w:lang w:eastAsia="ru-RU"/>
              </w:rPr>
              <w:t>3,9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5,7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Добыча полезных ископаемых: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добыча топливно-энергетических полезных ископаемых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добыча полезных ископаемых, </w:t>
            </w:r>
            <w:proofErr w:type="gramStart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кроме</w:t>
            </w:r>
            <w:proofErr w:type="gramEnd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 топливно-энергетических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9,0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Обрабатывающие производства: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2,3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пищевых продуктов</w:t>
            </w:r>
            <w:proofErr w:type="gramStart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.</w:t>
            </w:r>
            <w:proofErr w:type="gramEnd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в</w:t>
            </w:r>
            <w:proofErr w:type="gramEnd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ключая напитки, и табака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текстильное и швейное производство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2,1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кожи, изделий из кожи и производство обуви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-3,4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1,8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производство кокса и нефтепродуктов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2,3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химическое производство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0,7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-0.6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4,4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Из них: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металлургическое производство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4.8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машин и оборудования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1,3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-0.3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Из него: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автомобилей, прицепов и полуприцепов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-3,9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судов, летательных и космических аппаратов и прочих транспортных средств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1,3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4,7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Из них;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6,7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оптовая торговля, включая торговлю через </w:t>
            </w: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агентов, кроме торговли автотранспортными средствами и мотоциклами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4,4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Гостиницы и рестораны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-1.6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1,5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Из них связь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5,0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Финансовая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0,0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1,2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Из них: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управление эксплуатацией жилого фонда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-0.6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научные исследования и разработки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1,9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</w:t>
            </w: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; социальное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14,1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0,3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3,6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3,1</w:t>
            </w:r>
          </w:p>
        </w:tc>
      </w:tr>
      <w:tr w:rsidR="00EB5135" w:rsidRPr="00EB5135" w:rsidTr="00EB5135">
        <w:tc>
          <w:tcPr>
            <w:tcW w:w="2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0,9</w:t>
            </w:r>
          </w:p>
        </w:tc>
      </w:tr>
    </w:tbl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Примечание: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2003–2013 гг. – по данным бухгалтерской отчетности. Знак</w:t>
      </w:r>
      <w:proofErr w:type="gramStart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(-) </w:t>
      </w:r>
      <w:proofErr w:type="gramEnd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означает убыточность.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Таблица 8.3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Рентабельность проданных товаров, продукции (работ, услуг) но формам собственности в России в 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1997–2013 гг., </w:t>
      </w: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%</w:t>
      </w:r>
    </w:p>
    <w:p w:rsidR="00EB5135" w:rsidRPr="00EB5135" w:rsidRDefault="00EB5135" w:rsidP="00EB513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</w:p>
    <w:tbl>
      <w:tblPr>
        <w:tblW w:w="10206" w:type="dxa"/>
        <w:tblInd w:w="-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93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2013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Российская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Собственность субъектов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-0,8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-5,7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-6,1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5,5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5,4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Смешанная российская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13,3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Собственность </w:t>
            </w: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российских граждан, постоянно проживающих за границей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 xml:space="preserve">Нет </w:t>
            </w: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2,5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Собственность потребительской кооперации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3,7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Иностранная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6,6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Совместная российская и иностранная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9.6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Российская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Собственность субъектов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-0,8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-5,7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-6,1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5,5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5,4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Смешанная российская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13,3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Собственность российских граждан, постоянно проживающих за границей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2.5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Собственность потребительской кооперации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3,7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Иностранная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6,6</w:t>
            </w:r>
          </w:p>
        </w:tc>
      </w:tr>
      <w:tr w:rsidR="00EB5135" w:rsidRPr="00EB5135" w:rsidTr="00EB5135">
        <w:tc>
          <w:tcPr>
            <w:tcW w:w="1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lastRenderedPageBreak/>
              <w:t>Совместная российская и иностранная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9.6</w:t>
            </w:r>
          </w:p>
        </w:tc>
      </w:tr>
    </w:tbl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gramStart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Для России имеют также значение формы собственности – наибольшая рентабельность достигается у совместных российско-иностранных предприятий, наименьшая – у муниципальных (табл. 8.3</w:t>
      </w: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)</w:t>
      </w:r>
      <w:hyperlink r:id="rId9" w:anchor="gads_btm" w:history="1">
        <w:r w:rsidRPr="00EB5135">
          <w:rPr>
            <w:rFonts w:ascii="Times New Roman" w:eastAsia="Times New Roman" w:hAnsi="Times New Roman" w:cs="Times New Roman"/>
            <w:color w:val="1FA2D6"/>
            <w:sz w:val="28"/>
            <w:szCs w:val="28"/>
            <w:vertAlign w:val="superscript"/>
            <w:lang w:eastAsia="ru-RU"/>
          </w:rPr>
          <w:t>[3]</w:t>
        </w:r>
      </w:hyperlink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 Это следует рассматривать как специфику деятельности разных хозяйствующих субъектов в условиях сложившейся внешней среды с силами ее давления и различного рода преференций.</w:t>
      </w:r>
      <w:proofErr w:type="gramEnd"/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Чтобы представить наиболее существенные показатели рентабельности в виде наглядной схемы, используют так называемую диаграмму (карту) </w:t>
      </w:r>
      <w:proofErr w:type="spellStart"/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Du</w:t>
      </w:r>
      <w:proofErr w:type="spellEnd"/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Pont</w:t>
      </w:r>
      <w:proofErr w:type="spellEnd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(рис. 8.7), которая не только объединяет коэффициенты вместе, но и позволяет выяснить их взаимозависимость с целью их оптимизации для поиска резервов. Снижая знаменатель одного показателя и </w:t>
      </w:r>
      <w:proofErr w:type="gramStart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увеличивая</w:t>
      </w:r>
      <w:proofErr w:type="gramEnd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таким образом значение показателя, мы тем самым автоматически можем уменьшить числитель другого показателя, что, в свою очередь, уменьшит значение последнего. Данная диаграмма позволяет понять взаимосвязь между показателями.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noProof/>
          <w:color w:val="373D3F"/>
          <w:sz w:val="28"/>
          <w:szCs w:val="28"/>
          <w:lang w:eastAsia="ru-RU"/>
        </w:rPr>
        <w:drawing>
          <wp:inline distT="0" distB="0" distL="0" distR="0" wp14:anchorId="322DE8BA" wp14:editId="2645F247">
            <wp:extent cx="4319905" cy="1844675"/>
            <wp:effectExtent l="0" t="0" r="4445" b="3175"/>
            <wp:docPr id="22" name="Рисунок 22" descr="Диаграмма Du 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иаграмма Du Po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Рис. 8.7.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Диаграмма </w:t>
      </w:r>
      <w:proofErr w:type="spellStart"/>
      <w:r w:rsidRPr="00EB5135">
        <w:rPr>
          <w:rFonts w:ascii="Times New Roman" w:eastAsia="Times New Roman" w:hAnsi="Times New Roman" w:cs="Times New Roman"/>
          <w:b/>
          <w:bCs/>
          <w:i/>
          <w:iCs/>
          <w:color w:val="373D3F"/>
          <w:sz w:val="28"/>
          <w:szCs w:val="28"/>
          <w:lang w:eastAsia="ru-RU"/>
        </w:rPr>
        <w:t>Du</w:t>
      </w:r>
      <w:proofErr w:type="spellEnd"/>
      <w:r w:rsidRPr="00EB5135">
        <w:rPr>
          <w:rFonts w:ascii="Times New Roman" w:eastAsia="Times New Roman" w:hAnsi="Times New Roman" w:cs="Times New Roman"/>
          <w:b/>
          <w:bCs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EB5135">
        <w:rPr>
          <w:rFonts w:ascii="Times New Roman" w:eastAsia="Times New Roman" w:hAnsi="Times New Roman" w:cs="Times New Roman"/>
          <w:b/>
          <w:bCs/>
          <w:i/>
          <w:iCs/>
          <w:color w:val="373D3F"/>
          <w:sz w:val="28"/>
          <w:szCs w:val="28"/>
          <w:lang w:eastAsia="ru-RU"/>
        </w:rPr>
        <w:t>Pont</w:t>
      </w:r>
      <w:proofErr w:type="spellEnd"/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Диаграмма </w:t>
      </w:r>
      <w:proofErr w:type="spellStart"/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Du</w:t>
      </w:r>
      <w:proofErr w:type="spellEnd"/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Pont</w:t>
      </w:r>
      <w:proofErr w:type="spellEnd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подчеркивает значение показателя рентабельности активов, который должен быть одним из основных рабочих инструментов руководителя в управлении компаниями. Этот показатель объединяет весь набор элементов, описывающих различные стороны работы компании. Анализируя взаимосвязи, можно выделить элементы, оказывающие наиболее сильное негативное влияние, и сосредоточить внимание на них.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Расчет показателей рентабельности продаж приведен в примере.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Пример 8.1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Расчет рентабельности продаж приведен в табл. 8.4.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 строку "Бюджетные выплаты из прибыли" включены все расходы, которые были выплачены в данном периоде. В строке "Прочие расходы" отражены расходы компании, не включенные в себестоимость.</w:t>
      </w:r>
    </w:p>
    <w:p w:rsidR="004D1D7A" w:rsidRDefault="004D1D7A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</w:pPr>
    </w:p>
    <w:p w:rsidR="004D1D7A" w:rsidRDefault="004D1D7A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</w:pPr>
    </w:p>
    <w:p w:rsidR="004D1D7A" w:rsidRDefault="004D1D7A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</w:pPr>
    </w:p>
    <w:p w:rsidR="004D1D7A" w:rsidRDefault="004D1D7A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</w:pP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lastRenderedPageBreak/>
        <w:t>Таблица 8.4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Расчет рентабельности продаж, тыс. руб.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6381"/>
        <w:gridCol w:w="2694"/>
      </w:tblGrid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Выручка от реализации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Себестоимость продукции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Операционная прибыль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proofErr w:type="spellStart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Внеоперационные</w:t>
            </w:r>
            <w:proofErr w:type="spellEnd"/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 доходы и убытки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Прибыль от деятельности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7110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5434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1676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1050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2726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Прибыль до налогообложения 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Бюджетные выплаты из прибыли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2726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2562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6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562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 xml:space="preserve">Чистая прибыль 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Выплаченные дивиденды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-398</w:t>
            </w:r>
          </w:p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  <w:t>0</w:t>
            </w:r>
          </w:p>
        </w:tc>
      </w:tr>
      <w:tr w:rsidR="00EB5135" w:rsidRPr="00EB5135" w:rsidTr="00EB51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5135" w:rsidRPr="00EB5135" w:rsidRDefault="00EB5135" w:rsidP="00EB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D3F"/>
                <w:sz w:val="20"/>
                <w:szCs w:val="20"/>
                <w:lang w:eastAsia="ru-RU"/>
              </w:rPr>
            </w:pPr>
            <w:r w:rsidRPr="00EB5135">
              <w:rPr>
                <w:rFonts w:ascii="Times New Roman" w:eastAsia="Times New Roman" w:hAnsi="Times New Roman" w:cs="Times New Roman"/>
                <w:noProof/>
                <w:color w:val="373D3F"/>
                <w:sz w:val="20"/>
                <w:szCs w:val="20"/>
                <w:lang w:eastAsia="ru-RU"/>
              </w:rPr>
              <w:drawing>
                <wp:inline distT="0" distB="0" distL="0" distR="0" wp14:anchorId="31CE77A8" wp14:editId="58D129F8">
                  <wp:extent cx="5383530" cy="749339"/>
                  <wp:effectExtent l="0" t="0" r="7620" b="0"/>
                  <wp:docPr id="19" name="Рисунок 19" descr="https://studme.org/imag/econom/rum_ekan/image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tudme.org/imag/econom/rum_ekan/image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7351" cy="75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Анализ рентабельности, как и анализ эффективности управления затратами, использования основных средств, оборотного капитала, прибыли, включает также формирование представления о главных и второстепенных факторах, обусловивших достижение именно данного показателя.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Пример проведения факторного анализа рентабельности в </w:t>
      </w:r>
      <w:proofErr w:type="spellStart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Excel</w:t>
      </w:r>
      <w:proofErr w:type="spellEnd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приводится на рис. 8.8</w:t>
      </w:r>
      <w:hyperlink r:id="rId12" w:anchor="gads_btm" w:history="1">
        <w:r w:rsidRPr="00EB5135">
          <w:rPr>
            <w:rFonts w:ascii="Times New Roman" w:eastAsia="Times New Roman" w:hAnsi="Times New Roman" w:cs="Times New Roman"/>
            <w:color w:val="1FA2D6"/>
            <w:sz w:val="28"/>
            <w:szCs w:val="28"/>
            <w:vertAlign w:val="superscript"/>
            <w:lang w:eastAsia="ru-RU"/>
          </w:rPr>
          <w:t>[4]</w:t>
        </w:r>
      </w:hyperlink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 Пример проведения факторного анализа рентабельности продаж представлен на рис. 8.9.</w:t>
      </w:r>
    </w:p>
    <w:p w:rsidR="00EB5135" w:rsidRPr="00EB5135" w:rsidRDefault="00EB5135" w:rsidP="00EB5135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noProof/>
          <w:color w:val="373D3F"/>
          <w:sz w:val="28"/>
          <w:szCs w:val="28"/>
          <w:lang w:eastAsia="ru-RU"/>
        </w:rPr>
        <w:drawing>
          <wp:inline distT="0" distB="0" distL="0" distR="0" wp14:anchorId="633F3F8D" wp14:editId="0C75EC4D">
            <wp:extent cx="6046470" cy="2788674"/>
            <wp:effectExtent l="0" t="0" r="0" b="0"/>
            <wp:docPr id="18" name="Рисунок 18" descr="Пример результатов проведения факторного анализа рентабельности по системе директ-костинг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имер результатов проведения факторного анализа рентабельности по системе директ-костинг в Exce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141" cy="27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Рис. 8.8.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 xml:space="preserve">Пример результатов проведения факторного анализа рентабельности по системе директ-костинг в </w:t>
      </w:r>
      <w:proofErr w:type="spellStart"/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Excel</w:t>
      </w:r>
      <w:proofErr w:type="spellEnd"/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noProof/>
          <w:color w:val="373D3F"/>
          <w:sz w:val="28"/>
          <w:szCs w:val="28"/>
          <w:lang w:eastAsia="ru-RU"/>
        </w:rPr>
        <w:lastRenderedPageBreak/>
        <w:drawing>
          <wp:inline distT="0" distB="0" distL="0" distR="0" wp14:anchorId="22F704EA" wp14:editId="79844EA9">
            <wp:extent cx="4335780" cy="6069965"/>
            <wp:effectExtent l="0" t="0" r="7620" b="6985"/>
            <wp:docPr id="17" name="Рисунок 17" descr="Пример проведения факторного анализа рентабельности прод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ример проведения факторного анализа рентабельности продаж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60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Рис. 8.9.</w:t>
      </w: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EB5135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Пример проведения факторного анализа рентабельности продаж</w:t>
      </w:r>
    </w:p>
    <w:p w:rsidR="00EB5135" w:rsidRPr="00EB5135" w:rsidRDefault="00EB5135" w:rsidP="00EB51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Таким образом, экономический анализ рентабельности позволит детализировать возможности компании по обеспечению ее конкурентоспособности на рынке, раскрывая преимущества и </w:t>
      </w:r>
      <w:proofErr w:type="spellStart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минимизируя</w:t>
      </w:r>
      <w:proofErr w:type="spellEnd"/>
      <w:r w:rsidRPr="00EB5135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все виды рисков.</w:t>
      </w:r>
    </w:p>
    <w:p w:rsidR="00127FCC" w:rsidRPr="00EB5135" w:rsidRDefault="00127FCC" w:rsidP="00EB513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127FCC" w:rsidRPr="00EB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AA4"/>
    <w:multiLevelType w:val="multilevel"/>
    <w:tmpl w:val="FDF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41C26"/>
    <w:multiLevelType w:val="multilevel"/>
    <w:tmpl w:val="107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2188B"/>
    <w:multiLevelType w:val="multilevel"/>
    <w:tmpl w:val="6116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212C3"/>
    <w:multiLevelType w:val="multilevel"/>
    <w:tmpl w:val="E62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44468"/>
    <w:multiLevelType w:val="multilevel"/>
    <w:tmpl w:val="07E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2148C"/>
    <w:multiLevelType w:val="multilevel"/>
    <w:tmpl w:val="01CC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82869"/>
    <w:multiLevelType w:val="multilevel"/>
    <w:tmpl w:val="194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664DE"/>
    <w:multiLevelType w:val="multilevel"/>
    <w:tmpl w:val="AE7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0667A"/>
    <w:multiLevelType w:val="hybridMultilevel"/>
    <w:tmpl w:val="2C66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C5503"/>
    <w:multiLevelType w:val="multilevel"/>
    <w:tmpl w:val="28A4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E0F0D"/>
    <w:multiLevelType w:val="multilevel"/>
    <w:tmpl w:val="3522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A1585"/>
    <w:multiLevelType w:val="multilevel"/>
    <w:tmpl w:val="8B5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B8"/>
    <w:rsid w:val="00127FCC"/>
    <w:rsid w:val="004D1D7A"/>
    <w:rsid w:val="00860FB8"/>
    <w:rsid w:val="00CB0C04"/>
    <w:rsid w:val="00E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35"/>
  </w:style>
  <w:style w:type="paragraph" w:styleId="1">
    <w:name w:val="heading 1"/>
    <w:basedOn w:val="a"/>
    <w:link w:val="10"/>
    <w:uiPriority w:val="9"/>
    <w:qFormat/>
    <w:rsid w:val="00EB5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35"/>
    <w:rPr>
      <w:b/>
      <w:bCs/>
    </w:rPr>
  </w:style>
  <w:style w:type="character" w:styleId="a5">
    <w:name w:val="Hyperlink"/>
    <w:basedOn w:val="a0"/>
    <w:uiPriority w:val="99"/>
    <w:semiHidden/>
    <w:unhideWhenUsed/>
    <w:rsid w:val="00EB5135"/>
    <w:rPr>
      <w:color w:val="0000FF"/>
      <w:u w:val="single"/>
    </w:rPr>
  </w:style>
  <w:style w:type="character" w:customStyle="1" w:styleId="aa9f4f92b">
    <w:name w:val="aa9f4f92b"/>
    <w:basedOn w:val="a0"/>
    <w:rsid w:val="00EB5135"/>
  </w:style>
  <w:style w:type="character" w:customStyle="1" w:styleId="p5c9fd98e">
    <w:name w:val="p5c9fd98e"/>
    <w:basedOn w:val="a0"/>
    <w:rsid w:val="00EB5135"/>
  </w:style>
  <w:style w:type="character" w:customStyle="1" w:styleId="m919244d">
    <w:name w:val="m919244d"/>
    <w:basedOn w:val="a0"/>
    <w:rsid w:val="00EB5135"/>
  </w:style>
  <w:style w:type="character" w:customStyle="1" w:styleId="q20c2ae33">
    <w:name w:val="q20c2ae33"/>
    <w:basedOn w:val="a0"/>
    <w:rsid w:val="00EB5135"/>
  </w:style>
  <w:style w:type="paragraph" w:styleId="a6">
    <w:name w:val="Balloon Text"/>
    <w:basedOn w:val="a"/>
    <w:link w:val="a7"/>
    <w:uiPriority w:val="99"/>
    <w:semiHidden/>
    <w:unhideWhenUsed/>
    <w:rsid w:val="00E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13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EB5135"/>
    <w:rPr>
      <w:color w:val="800080"/>
      <w:u w:val="single"/>
    </w:rPr>
  </w:style>
  <w:style w:type="character" w:customStyle="1" w:styleId="a1764589a">
    <w:name w:val="a1764589a"/>
    <w:basedOn w:val="a0"/>
    <w:rsid w:val="00EB5135"/>
  </w:style>
  <w:style w:type="character" w:customStyle="1" w:styleId="hd6174461">
    <w:name w:val="hd6174461"/>
    <w:basedOn w:val="a0"/>
    <w:rsid w:val="00EB5135"/>
  </w:style>
  <w:style w:type="character" w:customStyle="1" w:styleId="x7692d100">
    <w:name w:val="x7692d100"/>
    <w:basedOn w:val="a0"/>
    <w:rsid w:val="00EB5135"/>
  </w:style>
  <w:style w:type="paragraph" w:styleId="a9">
    <w:name w:val="List Paragraph"/>
    <w:basedOn w:val="a"/>
    <w:uiPriority w:val="34"/>
    <w:qFormat/>
    <w:rsid w:val="00EB5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35"/>
  </w:style>
  <w:style w:type="paragraph" w:styleId="1">
    <w:name w:val="heading 1"/>
    <w:basedOn w:val="a"/>
    <w:link w:val="10"/>
    <w:uiPriority w:val="9"/>
    <w:qFormat/>
    <w:rsid w:val="00EB5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35"/>
    <w:rPr>
      <w:b/>
      <w:bCs/>
    </w:rPr>
  </w:style>
  <w:style w:type="character" w:styleId="a5">
    <w:name w:val="Hyperlink"/>
    <w:basedOn w:val="a0"/>
    <w:uiPriority w:val="99"/>
    <w:semiHidden/>
    <w:unhideWhenUsed/>
    <w:rsid w:val="00EB5135"/>
    <w:rPr>
      <w:color w:val="0000FF"/>
      <w:u w:val="single"/>
    </w:rPr>
  </w:style>
  <w:style w:type="character" w:customStyle="1" w:styleId="aa9f4f92b">
    <w:name w:val="aa9f4f92b"/>
    <w:basedOn w:val="a0"/>
    <w:rsid w:val="00EB5135"/>
  </w:style>
  <w:style w:type="character" w:customStyle="1" w:styleId="p5c9fd98e">
    <w:name w:val="p5c9fd98e"/>
    <w:basedOn w:val="a0"/>
    <w:rsid w:val="00EB5135"/>
  </w:style>
  <w:style w:type="character" w:customStyle="1" w:styleId="m919244d">
    <w:name w:val="m919244d"/>
    <w:basedOn w:val="a0"/>
    <w:rsid w:val="00EB5135"/>
  </w:style>
  <w:style w:type="character" w:customStyle="1" w:styleId="q20c2ae33">
    <w:name w:val="q20c2ae33"/>
    <w:basedOn w:val="a0"/>
    <w:rsid w:val="00EB5135"/>
  </w:style>
  <w:style w:type="paragraph" w:styleId="a6">
    <w:name w:val="Balloon Text"/>
    <w:basedOn w:val="a"/>
    <w:link w:val="a7"/>
    <w:uiPriority w:val="99"/>
    <w:semiHidden/>
    <w:unhideWhenUsed/>
    <w:rsid w:val="00E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13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EB5135"/>
    <w:rPr>
      <w:color w:val="800080"/>
      <w:u w:val="single"/>
    </w:rPr>
  </w:style>
  <w:style w:type="character" w:customStyle="1" w:styleId="a1764589a">
    <w:name w:val="a1764589a"/>
    <w:basedOn w:val="a0"/>
    <w:rsid w:val="00EB5135"/>
  </w:style>
  <w:style w:type="character" w:customStyle="1" w:styleId="hd6174461">
    <w:name w:val="hd6174461"/>
    <w:basedOn w:val="a0"/>
    <w:rsid w:val="00EB5135"/>
  </w:style>
  <w:style w:type="character" w:customStyle="1" w:styleId="x7692d100">
    <w:name w:val="x7692d100"/>
    <w:basedOn w:val="a0"/>
    <w:rsid w:val="00EB5135"/>
  </w:style>
  <w:style w:type="paragraph" w:styleId="a9">
    <w:name w:val="List Paragraph"/>
    <w:basedOn w:val="a"/>
    <w:uiPriority w:val="34"/>
    <w:qFormat/>
    <w:rsid w:val="00EB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me.org/96048/ekonomika/klassifikatsiya_analiz_pokazateley_rentabelnosti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studme.org/96048/ekonomika/klassifikatsiya_analiz_pokazateley_rentabelnos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dme.org/96048/ekonomika/klassifikatsiya_analiz_pokazateley_rentabelnosti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tudme.org/96048/ekonomika/klassifikatsiya_analiz_pokazateley_rentabelnosti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1719</Words>
  <Characters>9800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2025-01-28T06:58:00Z</dcterms:created>
  <dcterms:modified xsi:type="dcterms:W3CDTF">2025-01-28T07:19:00Z</dcterms:modified>
</cp:coreProperties>
</file>