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-220" w:leftChars="-100" w:firstLine="0" w:firstLineChars="0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Теоретическая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часть</w:t>
      </w:r>
      <w:r>
        <w:rPr>
          <w:rFonts w:ascii="Times New Roman" w:hAnsi="Times New Roman"/>
          <w:sz w:val="32"/>
          <w:szCs w:val="32"/>
        </w:rPr>
        <w:t>.</w:t>
      </w:r>
    </w:p>
    <w:p>
      <w:pPr>
        <w:numPr>
          <w:ilvl w:val="0"/>
          <w:numId w:val="0"/>
        </w:numPr>
        <w:spacing w:line="360" w:lineRule="auto"/>
        <w:ind w:left="-220" w:leftChars="-100" w:firstLine="0" w:firstLineChars="0"/>
        <w:jc w:val="left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1.1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 xml:space="preserve">Проектирование предприятий, зданий и сооружений осуществляется в одну и две стадии. При проектировании в одну стадию разрабатывается рабочий проект со сводным сметным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</w:rPr>
        <w:t>расчётом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 xml:space="preserve"> стоимости строительства, при проектировании в две стадии на первой разрабатывается 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>проект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 xml:space="preserve">со сводным сметным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</w:rPr>
        <w:t>расчётом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>, на второй — 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>рабочая документация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>со сметами.</w:t>
      </w:r>
    </w:p>
    <w:p>
      <w:pPr>
        <w:numPr>
          <w:ilvl w:val="0"/>
          <w:numId w:val="0"/>
        </w:numPr>
        <w:spacing w:line="360" w:lineRule="auto"/>
        <w:ind w:left="-220" w:leftChars="-100" w:firstLine="0" w:firstLineChars="0"/>
        <w:jc w:val="left"/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</w:rPr>
        <w:t>Для предприятий, зданий и сооружений, строительство которых будет осуществляться по типовым и повторно применяемым проектам, а также для технически несложных объектов проектирование предусматривается в одну стадию. Для крупных и сложных объектов проектирование предусматривается в две стадии.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Для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</w:rPr>
        <w:t>особо сложных объектов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 характерны многообразие объемно-планировочных решений, различные типы конструкций, значительная их масса, применение уникального оборудования, сложные условия производства строительно-монтажных работ. К таким объектам относятся горно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обогатительные комбинаты, кузнечно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прессовые и прокатные цехи, предприятия полиграфической, сахарной промышленности, теплоэлектростанции и др.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Для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</w:rPr>
        <w:t>объектов средней сложности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 характерна повторяемость основных габаритных схем, каркас здания часто решен в типовых сборных железобетонных, или металлических конструкциях. К ним относятся заводы автомобильной промышленности, сельскохозяйственного и текстильного машиностроения, пищевой промышленности, заводы строительных материалов, приборостроения 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др.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</w:rPr>
        <w:t>Несложные объекты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 характеризуются однородностью и повторяемостью габаритных схем и размеров, унифицированными типовыми конструкциями. </w:t>
      </w:r>
      <w:bookmarkStart w:id="0" w:name="_GoBack"/>
      <w:bookmarkEnd w:id="0"/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</w:pP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На этих объектах технологическое оборудование станочного типа располагается непосредственно на бетонном полу. К таким объектам относятся предприятия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лёгкой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, текстильной, радио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электротехнической промышленности и др.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Степень сложности объекта и стадийность разработки проектно-сметной документации устанавливаются заказчиком в задании на проектирование предприятия, здания и сооружения.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Сметная стоимость строительства предприятий, зданий и сооружений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определяется сводным сметным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расчётом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: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• при одностадийном проектировании по сметам к типовым проектам и повторно применяемым экономичным индивидуальным проектам, привязанным к местным условиям, и по сметам, составляемым по рабочим чертежам;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• при двухстадийном проектировании по укрупненным сметным нормам и стоимостным показателям объектов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аналогов.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После утверждения проекта на второй стадии двухстадийного проектирования производится разработка 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рабочей документации,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состав которой входят: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1. рабочие чертежи;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2. сметы;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3. ведомости объемов строительных и монтажных работ;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4. сводные ведомости потребности в материалах;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5. спецификации на оборудование.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В процессе разработки рабочей документации производятся уточнение и детализация проектных решений в той степени, в которой это необходимо для производства строительных и монтажных работ. 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9"/>
        <w:keepNext w:val="0"/>
        <w:keepLines w:val="0"/>
        <w:widowControl/>
        <w:suppressLineNumbers w:val="0"/>
        <w:tabs>
          <w:tab w:val="left" w:pos="880"/>
        </w:tabs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На стадии разработки рабочей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документации по рабочим чертежам составляются объектные и локальные сметы, определяющие сметную стоимость отдельных объектов (зданий и сооружений), их частей или видов работ. Объектные и локальные сметы являются основанием для определения сметной стоимости конечной строительной продукции.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В локальных и объектных сметах, составляемых по рабочим чертежам, выделяются нормативная условно-чистая продукция, нормативная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трудоёмкость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 и сметная заработная плата рабочих.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Одновременно со сметной документацией в составе проекта разрабатываются ведомость сметной стоимости строительства объектов, входящих в пусковой комплекс, и ведомость сметной стоимости объектов и работ по охране окружающей природной среды; в составе рабочей документации -ведомость сметной стоимости строительства объектов, входящих в пусковой комплекс, и ведомость сметной стоимости товарной строительной продукции.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 составе 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рабочего проекта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кроме рабочей документации разрабатываются следующие материалы: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1. общая пояснительная записка, содержащая исходные данные для проектирования;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2. основные технико-экономические показатели запроектированного объекта;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3. генеральный план;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4. перечень зданий и сооружений, которые намечено строить по типовым проектам;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5. дополнительные чертежи, разрабатываемые при привязке типовых и повторно применяемых индивидуальных проектов;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6. разделы организации строительства и сметной документации.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7. ведомость сметной стоимости строительства объектов, входящих в пусковой комплекс;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8. ведомость сметной стоимости объектов и работ по охране окружающей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природной среды;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9.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 ведомость сметной стоимости товарной строительной продукции (при пр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должительности строительства предприятий, зданий и сооружений до двух лет, а при большей продолжительности—на объекты, вводимые в эксплуатацию в первом году строительства).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• В разделе </w:t>
      </w:r>
      <w:r>
        <w:rPr>
          <w:rStyle w:val="5"/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«Сметная документация»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 составе рабочего проекта разрабатываются: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1. сводный сметный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расчёт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2. сводка затрат;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3. объектные и локальные сметы;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4. объектные и локальные сметные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расчёты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 (для объектов с продолжительностью строительства свыше двух лет);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5. сметы на проектные и изыскательские работы;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Данные о сметной стоимости объектов и работ по охране окружающей природной среды включаются в раздел рабочего проекта (проекта) «Охрана окружающей природной среды».</w:t>
      </w:r>
    </w:p>
    <w:p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К сметной документации в составе утверждаемого проекта (рабочего проекта) прикладывается пояснительная записка, в которой указывается территориальный район расположения строительства, а также указывается, в каких ценах и нормах какого года составлена сметная документация, приводится порядок определения сметной стоимости строительства, строительных работ, оборудования и его монтажа и др.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</w:pP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1.2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Строительство является одной из наиболее материала ёмких отраслей народного хозяйства. Доля затрат на материалы и конструкции в общей сметной стоимости СМР составляет более 60%.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Для составления заявок на материалы, учёта и контроля за их фактическим расходом, составлением смет надо иметь технически обоснованные производственные нормы расхода материалов.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Технически обоснованная норма расхода материалов – это установленное количество материалов (конструкций) необходимое для производства единицы доброкачественной строительной продукции при правильной технологии и бережном отношении к расходу строительных материалов. Она состоит из следующих частей: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Чистая (конструктивная норма) – Нч(к) – количество материалов (конструкций), которые входят в состав строительной конструкции;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Норма трудно устранимых отходов (Но) – количество материалов, которое не может быть использовано на СМР, но может быть использовано для других целей. В норму включают ту часть отходов, которую трудно или невозможно избежать;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Норма трудно устранимых потерь - Н(п) – количество материала, которое не может быть использовано ни для каких целей и которую трудно или невозможно избежать в производственных условиях.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Нто = Нг(к)+Но+Н(п)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  <w:t>Методы нормирования расхода строительных материалов.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Производственный метод состоит в определении норм на основе наблюдений проводимых непосредственно на строительной площадке, путём измерения объёма выполненной продукции, и количества истраченных материалов. Этот метод применяется при нормировании расхода материалов имеющих трудно устранимые отходы и потери;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Лабораторный метод – применяется при необходимости высокой точности всех замеров (определение плотности, пустотности и др.) и заключается в определении производственных норм расхода материалов на основе наблюдений в специальных условиях (лаборатория);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Расчётно –аналитический метод состоит в теоретическом подсчёте норм проводимом на основе изучения конструкции проводимой с учётом технологии производства. Применяется тогда, когда в строительном процессе нет трудно устранимых отходов и потерь.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  <w:t>Принципы технического нормирования</w:t>
      </w:r>
    </w:p>
    <w:p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Тех нормирование осуществляется при соблюдении следующих основных принципов: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Критическое использование практических данных;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Целенаправленный выбор объекта исследования;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Элементное нормирование (весь процесс разбивается на отдельные элементы);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Выборочный характер наблюдения;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Обоснованный выбор средних величин;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Выявление и использование взаимосвязи;</w:t>
      </w:r>
    </w:p>
    <w:p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Соответствие нормы и нормали;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Нормаль строительно-монтажного процесса – совокупность значений факторов влияния на величину нормы с учётом достижений технического прогресса.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Нормаль содержит:</w:t>
      </w:r>
    </w:p>
    <w:p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Вид продукции и требования, предъявляемые к её качеству;</w:t>
      </w:r>
    </w:p>
    <w:p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Машины, механизмы, материалы и конструкции, используемые в процессе;</w:t>
      </w:r>
    </w:p>
    <w:p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Состав работы, т.е. элементы из которых состоит процесс;</w:t>
      </w:r>
    </w:p>
    <w:p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Технология выполнения работ;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Численный и квалификационный состав рабочих и разделение труда между ними.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Фактор влияния – обстоятельство влияющее на величину нормы затрат труда (квалификация рабочих, применяемые механизмы и т.д.)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Каждой нормали должна соответствовать только одна норма и если в нормали меняется один элемент, её составляющий должна пересматриваться и норма.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Проверка и обязательность применения норм и нормали. Нормы и нормали до их утверждения должны быть проверены в производственных условиях с целью реальности их выполнения. После утверждения нормы и нормали являются обязательными для всех СМО (строительно-монтажных организаций).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</w:rPr>
        <w:t>Методы технического нормирования.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>Существуют два вида нормирования труда: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Аналитически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исследовательский;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Аналитический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-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</w:rPr>
        <w:t>расчётный.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Различие между ними заключается в способе определения исходных данных для проектирования норм. Аналитический исследовательский метод основан на получении исходных данных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путём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 проведения специальных нормативных наблюдений непосредственно на стройплощадке.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Аналитический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расчётный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 базируется на применении установленных ранее нормативов, формул, технических данных, паспортов машин оборудования.</w:t>
      </w:r>
    </w:p>
    <w:p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Оба метода могут быть использованы как вместе, так и отдельно. Предпочтение следует отдавать аналитически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</w:rPr>
        <w:t>расчётном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</w:rPr>
        <w:t xml:space="preserve"> как более экономичному. Он применяется для разработки укрупненных норм.</w:t>
      </w:r>
    </w:p>
    <w:p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OST Type BU">
    <w:panose1 w:val="02010603020201000205"/>
    <w:charset w:val="00"/>
    <w:family w:val="auto"/>
    <w:pitch w:val="default"/>
    <w:sig w:usb0="800002AF" w:usb1="1000004A" w:usb2="00000000" w:usb3="00000000" w:csb0="C000009F" w:csb1="5B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7889"/>
        <w:tab w:val="clear" w:pos="4677"/>
      </w:tabs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0" r="0" b="0"/>
              <wp:wrapNone/>
              <wp:docPr id="1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margin;mso-height-relative:margin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5915660</wp:posOffset>
              </wp:positionH>
              <wp:positionV relativeFrom="paragraph">
                <wp:posOffset>-107315</wp:posOffset>
              </wp:positionV>
              <wp:extent cx="342265" cy="159385"/>
              <wp:effectExtent l="0" t="0" r="0" b="0"/>
              <wp:wrapNone/>
              <wp:docPr id="598" name="Rectangle 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159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ЛистЛлЛЛистЛлЛистЛист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3" o:spid="_x0000_s1026" o:spt="1" style="position:absolute;left:0pt;margin-left:465.8pt;margin-top:-8.45pt;height:12.55pt;width:26.95pt;z-index:251662336;mso-width-relative:margin;mso-height-relative:margin;" filled="f" stroked="f" coordsize="21600,21600" o:gfxdata="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guhrtgAAAAJAQAADwAAAAAAAAABACAAAAAiAAAAZHJz&#10;L2Rvd25yZXYueG1sUEsBAhQAFAAAAAgAh07iQNZB8X0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ЛистЛлЛЛистЛлЛистЛист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7" o:spid="_x0000_s1026" o:spt="20" style="position:absolute;left:0pt;margin-left:464.35pt;margin-top:3.4pt;height:0.7pt;width:31.4pt;z-index:251660288;mso-width-relative:margin;mso-height-relative:margin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>
                          <w:pPr>
                            <w:pStyle w:val="8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>
                    <w:pPr>
                      <w:pStyle w:val="8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>
                    <w:pPr>
                      <w:pStyle w:val="8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/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0" t="0" r="0" b="0"/>
              <wp:wrapNone/>
              <wp:docPr id="589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0" t="0" r="0" b="0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35.5pt;margin-top:-17.5pt;height:806.55pt;width:530.65pt;z-index:251659264;mso-width-relative:margin;mso-height-relative:margin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2B1FAC"/>
    <w:multiLevelType w:val="singleLevel"/>
    <w:tmpl w:val="A62B1FA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1">
    <w:nsid w:val="B26B4B28"/>
    <w:multiLevelType w:val="singleLevel"/>
    <w:tmpl w:val="B26B4B2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2">
    <w:nsid w:val="CB96D777"/>
    <w:multiLevelType w:val="singleLevel"/>
    <w:tmpl w:val="CB96D777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2A746135"/>
    <w:rsid w:val="5470598C"/>
    <w:rsid w:val="638A6393"/>
    <w:rsid w:val="70C40B33"/>
    <w:rsid w:val="77F331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0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Верхний колонтитул Знак"/>
    <w:basedOn w:val="3"/>
    <w:link w:val="7"/>
    <w:uiPriority w:val="99"/>
  </w:style>
  <w:style w:type="character" w:customStyle="1" w:styleId="12">
    <w:name w:val="Нижний колонтитул Знак"/>
    <w:basedOn w:val="3"/>
    <w:link w:val="8"/>
    <w:uiPriority w:val="99"/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2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3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1BC96-4331-45A8-B3A0-2F4EBAD40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5</Characters>
  <Lines>1</Lines>
  <Paragraphs>1</Paragraphs>
  <TotalTime>18</TotalTime>
  <ScaleCrop>false</ScaleCrop>
  <LinksUpToDate>false</LinksUpToDate>
  <CharactersWithSpaces>5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2018-05-06T14:44:00Z</dcterms:created>
  <dc:creator>User</dc:creator>
  <cp:lastModifiedBy>пользователь</cp:lastModifiedBy>
  <cp:lastPrinted>2018-05-06T14:34:00Z</cp:lastPrinted>
  <dcterms:modified xsi:type="dcterms:W3CDTF">2023-04-28T07:16:09Z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CE499A1AA46B4A61970CFB7798FCD8CA</vt:lpwstr>
  </property>
</Properties>
</file>