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jpg" ContentType="image/jpeg"/>
  <Default Extension="jpeg" ContentType="image/jpeg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Принцип организации съемочных работ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Раздел 3. Понятие о геодезических сетях и съёмках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Назначение и виды геодезических съёмок</w:t>
      </w:r>
    </w:p>
    <w:p>
      <w:pPr>
        <w:spacing w:before="100" w:after="10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1. Понятия о геодезических сетях?</w:t>
      </w:r>
    </w:p>
    <w:p>
      <w:pPr>
        <w:spacing w:before="100" w:after="10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2. Что называют опорными пунктами на местности?</w:t>
      </w:r>
    </w:p>
    <w:p>
      <w:pPr>
        <w:spacing w:before="100" w:after="10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3. Что представляет собой опорная геодезическая сеть?</w:t>
      </w:r>
    </w:p>
    <w:p>
      <w:pPr>
        <w:spacing w:before="100" w:after="100" w:line="276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4. Составить классификацию опорных точек при выполнении геодезических работ в зависимости от назначения и местных условий.</w:t>
      </w:r>
    </w:p>
    <w:p>
      <w:pPr>
        <w:spacing w:before="100" w:after="10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5. На какие виды подразделяются геодезические сети?</w:t>
      </w:r>
    </w:p>
    <w:p>
      <w:pPr>
        <w:spacing w:before="100" w:after="10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6. Что представляют собой съёмочные сети и сети сгущения?</w:t>
      </w:r>
    </w:p>
    <w:p>
      <w:pPr>
        <w:spacing w:before="100" w:after="10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7. Что включает в себя состав полевых и камеральных работ?</w:t>
      </w:r>
    </w:p>
    <w:p>
      <w:pPr>
        <w:spacing w:before="100" w:after="100" w:line="240" w:lineRule="auto"/>
        <w:ind w:left="0"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8. Для того, чтобы получить представление о размерах участка, сложности ситуации производят?</w:t>
      </w:r>
    </w:p>
    <w:p>
      <w:pPr>
        <w:spacing w:after="0" w:line="276" w:lineRule="auto"/>
        <w:ind w:firstLine="744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Геодезические измерения сводятся к определению взаимного положения точек на земной поверхности. Чтобы ослабить влияние ошибок измерений и не допустить их накопления при геодезической съемке участков местности, принято за правило вести работу от общего к частному. Для этого из множества определяемых точек участка земной поверхности выделяют наиболее характерные и определяют в первую очередь их положение. </w:t>
      </w:r>
    </w:p>
    <w:p>
      <w:pPr>
        <w:spacing w:after="0" w:line="276" w:lineRule="auto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Такие точки называют опорными. Эти точки образуют геодезическую опорную сеть (геодезическое основание), т. е. составляют как бы общую канву, на которой с необходимой, хотя и более низкой точностью, производится дальнейшая съемка. Для того, чтобы результаты съемок были надежны, все важнейшие геодезические действия должны выполняться с контролем. Поэтому в основе качества геодезических работ лежит принцип ни одного шага вперед без контроля предыдущих действий.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Понятие о геодезических сетях</w:t>
      </w:r>
    </w:p>
    <w:p>
      <w:pPr>
        <w:spacing w:after="0" w:line="276" w:lineRule="auto"/>
        <w:ind w:firstLine="564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Для составления планов и карт, решения различных геодезических задач, в том числе геодезического обеспечения строительства, на поверхности Земли располагают ряд точек, связанных между собой единой системой опорных пунктов.</w:t>
      </w:r>
    </w:p>
    <w:p>
      <w:pPr>
        <w:spacing w:after="0" w:line="276" w:lineRule="auto"/>
        <w:ind w:firstLine="564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Опорными пунктами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называют надёжно закреплённые на местности точки, положение которых определено с необходимой точностью в единой системе координат.</w:t>
      </w:r>
    </w:p>
    <w:p>
      <w:pPr>
        <w:spacing w:after="0" w:line="276" w:lineRule="auto"/>
        <w:ind w:firstLine="564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Система опорных пунктов, расположенных на территории нашей страны, составляет 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геодезическую опорную сеть.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Определить плановое положение опорных пунктов можно геодезическим методами. При создании опорных сетей геодезический метод является основным, так как значительно точнее астрономического. Поэтому государственные опорные сети называют геодезическими сетями.</w:t>
      </w:r>
    </w:p>
    <w:p>
      <w:pPr>
        <w:spacing w:before="100" w:after="100" w:line="276" w:lineRule="auto"/>
        <w:ind w:firstLine="564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Совокупность закрепляемых на местности или зданиях точек, положение которых определено в единой системе координат, называют </w:t>
      </w: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геодезическими сетями.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Типы знаков закрепления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В зависимости от назначения и местных условий опорные точки при выполнении геодезических работ закрепляют постоянными и временными знаками.</w:t>
      </w:r>
    </w:p>
    <w:p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Временными знаками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могут служить деревянные колья, металлические трубки, обрезки арматуры и т.п. Они рассчитаны на короткий срок службы.</w:t>
      </w:r>
    </w:p>
    <w:p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Постоянные знаки</w:t>
      </w:r>
      <w:r>
        <w:rPr>
          <w:rFonts w:ascii="Times New Roman" w:cs="Times New Roman" w:eastAsia="Times New Roman" w:hAnsi="Times New Roman"/>
          <w:i/>
          <w:iCs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устраивают на долгое время. Утрата знаков ведёт к повторным инженерно-геодезическим работам.</w:t>
      </w:r>
    </w:p>
    <w:p>
      <w:pPr>
        <w:spacing w:after="0" w:line="276" w:lineRule="auto"/>
        <w:ind w:firstLine="720"/>
        <w:jc w:val="both"/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При больших расстояниях между пунктами опорных сетей для обеспечения видимости над точками устанавливают специальные знаки в виде пирамид или сигналов (рис 1).</w:t>
      </w:r>
    </w:p>
    <w:p>
      <w:p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 xmlns:mc="http://schemas.openxmlformats.org/markup-compatibility/2006">
          <wp:inline distT="0" distB="0" distL="0" distR="0">
            <wp:extent cx="4827270" cy="347662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7270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Плановые геодезические сети</w:t>
      </w:r>
    </w:p>
    <w:p>
      <w:pPr>
        <w:spacing w:after="0" w:line="276" w:lineRule="auto"/>
        <w:ind w:firstLine="73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Геодезические сети подразделяются на четыре вида: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государственные, сгущения, съёмочные и специальные.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Государственные геодезические сети – ГГС служат основой для создания всех остальных видов сетей.</w:t>
      </w:r>
    </w:p>
    <w:p>
      <w:pPr>
        <w:spacing w:after="0" w:line="276" w:lineRule="auto"/>
        <w:ind w:firstLine="73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Государственные плановые геодезические сети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являются главной геодезической основой топографических съёмок всех масштабов и подразделяются на четыре класса. Сеть первого класса имеет наибольшую точность и охватывает всю территорию страны. Сеть каждого последующего класса строится на основе сетей высших классов (рис.48). В настоящее время для построения государственных сетей используются спутниковые методы измерений.</w:t>
      </w:r>
    </w:p>
    <w:p>
      <w:pPr>
        <w:spacing w:after="0" w:line="276" w:lineRule="auto"/>
        <w:ind w:firstLine="73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Построение таких сетей предполагается осуществить в течение десяти ближайших лет.</w:t>
      </w:r>
    </w:p>
    <w:p>
      <w:pPr>
        <w:spacing w:after="0" w:line="276" w:lineRule="auto"/>
        <w:ind w:firstLine="73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Сети сгущения 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создаются для дальнейшего увеличения плотности государственных сетей. Плановые сети сгущения подразделяют на 1-й и 2-й разряды.</w:t>
      </w:r>
    </w:p>
    <w:p>
      <w:pPr>
        <w:spacing w:after="0" w:line="276" w:lineRule="auto"/>
        <w:ind w:firstLine="73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Съёмочные сети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–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это тоже сети сгущения, но с ещё большей плотностью. С точек съёмочных сетей производится съёмка предметов местности и </w:t>
      </w:r>
      <w:r>
        <w:fldChar w:fldCharType="begin"/>
      </w:r>
      <w:r>
        <w:instrText xml:space="preserve">HYPERLINK "https://pro.chtpgh.ru/mod/lesson/view.php?id=18381" </w:instrText>
      </w:r>
      <w:r>
        <w:fldChar w:fldCharType="separate"/>
      </w:r>
      <w:r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lang w:eastAsia="ru-RU"/>
        </w:rPr>
        <w:t>рельеф</w:t>
      </w:r>
      <w:r>
        <w:fldChar w:fldCharType="end"/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 для составления планов и карт различных масштабов.</w:t>
      </w:r>
    </w:p>
    <w:p>
      <w:pPr>
        <w:spacing w:after="0" w:line="276" w:lineRule="auto"/>
        <w:ind w:firstLine="732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Специальные геодезические сети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 создаются для геодезического обеспечения строительства сооружений.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Состав полевых работ при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проложении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 xml:space="preserve"> теодолитных ходов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>
      <w:pPr>
        <w:pStyle w:val="ListParagraph"/>
        <w:numPr>
          <w:ilvl w:val="0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Съёмка местности состоит из подготовительных, полевых и камеральных работ. К подготовительным относятся следующие работы:</w:t>
      </w:r>
    </w:p>
    <w:p>
      <w:pPr>
        <w:pStyle w:val="ListParagraph"/>
        <w:numPr>
          <w:ilvl w:val="1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Выяснение необходимости съёмки и выбор её масштаба;</w:t>
      </w:r>
    </w:p>
    <w:p>
      <w:pPr>
        <w:pStyle w:val="ListParagraph"/>
        <w:numPr>
          <w:ilvl w:val="1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Составление календарного плана и сметы на работы;</w:t>
      </w:r>
    </w:p>
    <w:p>
      <w:pPr>
        <w:pStyle w:val="ListParagraph"/>
        <w:numPr>
          <w:ilvl w:val="1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Расчёт необходимого количества рабочих и транспорта;</w:t>
      </w:r>
    </w:p>
    <w:p>
      <w:pPr>
        <w:pStyle w:val="ListParagraph"/>
        <w:numPr>
          <w:ilvl w:val="1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Составление списка на необходимые инструменты, оборудование, материалы.</w:t>
      </w:r>
    </w:p>
    <w:p>
      <w:pPr>
        <w:pStyle w:val="ListParagraph"/>
        <w:numPr>
          <w:ilvl w:val="0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К полевым работам при теодолитной съёмке относятся:</w:t>
      </w:r>
    </w:p>
    <w:p>
      <w:pPr>
        <w:pStyle w:val="ListParagraph"/>
        <w:numPr>
          <w:ilvl w:val="1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Рекогносцировка участка местности;</w:t>
      </w:r>
    </w:p>
    <w:p>
      <w:pPr>
        <w:pStyle w:val="ListParagraph"/>
        <w:numPr>
          <w:ilvl w:val="1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Закрепление знаками точек теодолитного хода;</w:t>
      </w:r>
    </w:p>
    <w:p>
      <w:pPr>
        <w:pStyle w:val="ListParagraph"/>
        <w:numPr>
          <w:ilvl w:val="0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Измерение углов и сторон теодолитного хода;</w:t>
      </w:r>
    </w:p>
    <w:p>
      <w:pPr>
        <w:pStyle w:val="ListParagraph"/>
        <w:numPr>
          <w:ilvl w:val="1"/>
          <w:numId w:val="1"/>
        </w:numPr>
        <w:spacing w:before="100" w:after="100" w:line="360" w:lineRule="auto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Привязка теодолитного хода к геодезическим пунктам более высокого класса.</w:t>
      </w:r>
    </w:p>
    <w:p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i/>
          <w:iCs/>
          <w:sz w:val="28"/>
          <w:szCs w:val="28"/>
          <w:lang w:eastAsia="ru-RU"/>
        </w:rPr>
        <w:t>Рекогносцировка </w:t>
      </w:r>
      <w:r>
        <w:rPr>
          <w:rFonts w:ascii="Times New Roman" w:cs="Times New Roman" w:eastAsia="Times New Roman" w:hAnsi="Times New Roman"/>
          <w:b/>
          <w:bCs/>
          <w:i/>
          <w:sz w:val="28"/>
          <w:szCs w:val="28"/>
          <w:lang w:eastAsia="ru-RU"/>
        </w:rPr>
        <w:t>участка</w:t>
      </w:r>
      <w:r>
        <w:rPr>
          <w:rFonts w:ascii="Times New Roman" w:cs="Times New Roman" w:eastAsia="Times New Roman" w:hAnsi="Times New Roman"/>
          <w:i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т.е. его обход и осмотр, производится для того, чтобы получить представление о размерах участка, сложности ситуации, условиях для измерения углов и линий и условиях привязки теодолитного хода к пунктам геодезической сети более высокого класса. В процессе рекогносцировки выбирают местоположение точек теодолитного хода таким образом, чтобы на привязку ситуации местности к вершинам и сторонам хода затрачивалось меньше труда и времени.</w:t>
      </w:r>
    </w:p>
    <w:p>
      <w:pPr>
        <w:spacing w:after="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Вершины теодолитного хода закрепляют постоянными или временными знаками, в зависимости от места их нахождения и срока службы. В процессе закрепления составляют схему, на которой показывают расположение вершин и сторон хода относительно ситуации местности. Эта схема используется при выполнении работ по измерению углов и длин сторон теодолитного хода.</w:t>
      </w:r>
    </w:p>
    <w:p>
      <w:pPr>
        <w:spacing w:before="100" w:after="100" w:line="240" w:lineRule="auto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Камеральная обработка теодолитного хода</w:t>
      </w:r>
    </w:p>
    <w:p>
      <w:pPr>
        <w:spacing w:before="100" w:after="100" w:line="276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После выполнения полевых работ производится камеральная обработка результатов измерений. Камеральная обработка начинается с тщательной проверки всех записей и вычислений в полевых </w:t>
      </w:r>
      <w:bookmarkStart w:id="0" w:name="_GoBack"/>
      <w:bookmarkEnd w:id="0"/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ж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урналах. По измеренным значениям горизонтальных углов и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горизонтальным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проложениям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производится вычисление координат точек теодолитного хода, путём решения прямой геодезической задачи. По вычисленным координатам строится план теодолитного хода, на котором выполняется плановая привязка здания, путём решения обратной геодезической задачи.</w:t>
      </w: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drawing xmlns:mc="http://schemas.openxmlformats.org/markup-compatibility/2006">
          <wp:inline distT="0" distB="0" distL="0" distR="0">
            <wp:extent cx="5940425" cy="5321643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5"/>
                    <a:srcRect b="17709"/>
                    <a:stretch/>
                  </pic:blipFill>
                  <pic:spPr>
                    <a:xfrm>
                      <a:off x="0" y="0"/>
                      <a:ext cx="5940425" cy="532164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cs="Times New Roman" w:hAnsi="Times New Roman"/>
          <w:sz w:val="28"/>
          <w:szCs w:val="28"/>
        </w:rPr>
      </w:pPr>
    </w:p>
    <w:p>
      <w:p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eastAsia="ru-RU"/>
        </w:rPr>
        <w:drawing xmlns:mc="http://schemas.openxmlformats.org/markup-compatibility/2006">
          <wp:inline distT="0" distB="0" distL="0" distR="0">
            <wp:extent cx="5940425" cy="325501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0">
      <w:numFmt w:val="bullet"/>
      <w:lvlText w:val="·"/>
      <w:lvlJc w:val="left"/>
      <w:pPr>
        <w:ind w:left="1440" w:hanging="360"/>
      </w:pPr>
      <w:rPr>
        <w:rFonts w:ascii="Times New Roman" w:cs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9E"/>
    <w:rsid w:val="00272B9E"/>
    <w:rsid w:val="00576BAF"/>
    <w:rsid w:val="008C6C08"/>
    <w:rsid w:val="00F7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76A9C"/>
  <w15:chartTrackingRefBased/>
  <w15:docId w15:val="{A5D3CAF1-354A-4F98-92E5-0A01092BB9E1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0" Type="http://schemas.openxmlformats.org/officeDocument/2006/relationships/theme" Target="theme/theme1.xml"/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2.pn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9" Type="http://schemas.openxmlformats.org/officeDocument/2006/relationships/fontTable" Target="fontTable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pro.chtpgh.ru/mod/lesson/view.php?id=18381" TargetMode="External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ЧТПиГХ</dc:creator>
  <cp:lastModifiedBy>Violetta Ermilova</cp:lastModifiedBy>
</cp:coreProperties>
</file>