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D83A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Темы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для презентаций по дисциплине ПСД, для групп С-32 и ДС-21</w:t>
      </w:r>
    </w:p>
    <w:p w14:paraId="246B941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21295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96" w:beforeAutospacing="0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Основы проектирования в строительстве: этапы и методы.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(Шатурная)</w:t>
      </w:r>
    </w:p>
    <w:p w14:paraId="616F6A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Сметное дело в строительстве: основные принципы и подходы.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(Степанова)</w:t>
      </w:r>
    </w:p>
    <w:p w14:paraId="122679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 xml:space="preserve">Современные программные обеспечения для проектирования и сметного 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ru-RU"/>
        </w:rPr>
        <w:t>расчёта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.</w:t>
      </w:r>
    </w:p>
    <w:p w14:paraId="5D8190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Экономическое обоснование проектных решений в строительстве.</w:t>
      </w:r>
    </w:p>
    <w:p w14:paraId="3F7C70B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Влияние проектных решений на стоимость строительства.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(Фомин)</w:t>
      </w:r>
    </w:p>
    <w:p w14:paraId="0E0591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Методы контроля и проверки сметной документации.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(Тютин)</w:t>
      </w:r>
    </w:p>
    <w:p w14:paraId="218DEC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Особенности проектирования и сметного дела в различных отраслях строительства (жилое, коммерческое, промышленное).</w:t>
      </w:r>
    </w:p>
    <w:p w14:paraId="06DE2F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Роль сметчика в процессе проектирования и строительства.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(Жиряков)</w:t>
      </w:r>
    </w:p>
    <w:p w14:paraId="7CAF5F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Анализ ошибок в проектной документации и их влияние на сметную стоимость.</w:t>
      </w:r>
    </w:p>
    <w:p w14:paraId="3F203E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Инновационные технологии в проектировании и сметном деле.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(Кирица)</w:t>
      </w:r>
    </w:p>
    <w:p w14:paraId="553BB4F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Правовые аспекты проектно-сметного дела.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(Чернышов)</w:t>
      </w:r>
    </w:p>
    <w:p w14:paraId="7A5CAE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Методы оптимизации затрат в проектно-сметной документации.</w:t>
      </w:r>
    </w:p>
    <w:p w14:paraId="076D46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Влияние экологических факторов на проектирование и сметное дело.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(Котова)</w:t>
      </w:r>
    </w:p>
    <w:p w14:paraId="329C2D7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Сравнительный анализ отечественных и зарубежных подходов к проектно-сметному делу.</w:t>
      </w:r>
    </w:p>
    <w:p w14:paraId="722373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Управление рисками в проектно-сметной деятельности.</w:t>
      </w:r>
    </w:p>
    <w:p w14:paraId="161C91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 xml:space="preserve">Автоматизация процессов проектирования и сметного 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>расчёта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: преимущества и недостатки.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(Фетисов)</w:t>
      </w:r>
    </w:p>
    <w:p w14:paraId="138398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Влияние изменений в проектной документации на сметную стоимость и сроки строительства.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(Морозов)</w:t>
      </w:r>
    </w:p>
    <w:p w14:paraId="2551A24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Организация работы проектного бюро: структура и функции.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(Орехов)</w:t>
      </w:r>
    </w:p>
    <w:p w14:paraId="0458486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 xml:space="preserve">Методы повышения точности сметных 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>расчётов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</w:rPr>
        <w:t>.</w:t>
      </w: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ru-RU"/>
        </w:rPr>
        <w:t xml:space="preserve"> (Серёгин)</w:t>
      </w:r>
      <w:bookmarkStart w:id="0" w:name="_GoBack"/>
      <w:bookmarkEnd w:id="0"/>
    </w:p>
    <w:p w14:paraId="5BA5E5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lear" w:pos="425"/>
        </w:tabs>
        <w:spacing w:before="0" w:beforeAutospacing="1" w:after="0" w:afterAutospacing="1" w:line="360" w:lineRule="auto"/>
        <w:ind w:left="825" w:leftChars="0" w:hanging="425" w:firstLineChars="0"/>
        <w:jc w:val="both"/>
        <w:rPr>
          <w:rFonts w:hint="default" w:ascii="Times New Roman" w:hAnsi="Times New Roman" w:eastAsia="var(--depot-font-size-md-paragraph) var(--depot-font-text)" w:cs="Times New Roman"/>
          <w:sz w:val="24"/>
          <w:szCs w:val="24"/>
        </w:rPr>
      </w:pPr>
      <w:r>
        <w:rPr>
          <w:rFonts w:hint="default" w:ascii="Times New Roman" w:hAnsi="Times New Roman" w:eastAsia="var(--depot-font-size-md-paragraph) var(--depot-font-text)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Экономическая эффективность проектных решений: критерии оценки.</w:t>
      </w:r>
    </w:p>
    <w:p w14:paraId="62C84DBC">
      <w:pPr>
        <w:ind w:left="0" w:leftChars="0" w:firstLine="399" w:firstLineChars="142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ar(--depot-font-size-md-paragraph) var(--depot-font-text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D580C"/>
    <w:multiLevelType w:val="multilevel"/>
    <w:tmpl w:val="BDED58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6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137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353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569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1808"/>
    <w:rsid w:val="098B1808"/>
    <w:rsid w:val="529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2026-04-02T05:41:00Z</dcterms:created>
  <dc:creator>Дарья Зиняева</dc:creator>
  <cp:lastModifiedBy>Дарья Зиняева</cp:lastModifiedBy>
  <dcterms:modified xsi:type="dcterms:W3CDTF">2026-04-02T09:33:37Z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6E64EBB305634321B34F8A75161FC740_13</vt:lpwstr>
  </property>
</Properties>
</file>